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F8" w:rsidRPr="00C6293E" w:rsidRDefault="00262EF8">
      <w:pPr>
        <w:spacing w:line="97" w:lineRule="exact"/>
        <w:rPr>
          <w:rFonts w:ascii="Times New Roman" w:hAnsi="Times New Roman" w:cs="Times New Roman"/>
        </w:rPr>
      </w:pPr>
    </w:p>
    <w:p w:rsidR="00262EF8" w:rsidRPr="00C6293E" w:rsidRDefault="00262EF8">
      <w:pPr>
        <w:spacing w:line="97" w:lineRule="exact"/>
        <w:rPr>
          <w:rFonts w:ascii="Times New Roman" w:hAnsi="Times New Roman" w:cs="Times New Roman"/>
        </w:rPr>
        <w:sectPr w:rsidR="00262EF8" w:rsidRPr="00C6293E" w:rsidSect="00E67920">
          <w:headerReference w:type="default" r:id="rId8"/>
          <w:pgSz w:w="11900" w:h="16841"/>
          <w:pgMar w:top="1334" w:right="1784" w:bottom="976" w:left="1784" w:header="645" w:footer="440" w:gutter="0"/>
          <w:pgNumType w:start="0"/>
          <w:cols w:space="720" w:equalWidth="0">
            <w:col w:w="8330"/>
          </w:cols>
        </w:sectPr>
      </w:pPr>
    </w:p>
    <w:p w:rsidR="00262EF8" w:rsidRPr="00C6293E" w:rsidRDefault="009C616F">
      <w:pPr>
        <w:spacing w:before="48" w:line="186" w:lineRule="auto"/>
        <w:ind w:left="4111"/>
        <w:rPr>
          <w:rFonts w:ascii="Times New Roman" w:eastAsia="宋体" w:hAnsi="Times New Roman" w:cs="Times New Roman"/>
          <w:sz w:val="19"/>
          <w:szCs w:val="19"/>
        </w:rPr>
      </w:pPr>
      <w:r w:rsidRPr="00C6293E">
        <w:rPr>
          <w:rFonts w:ascii="Times New Roman" w:eastAsia="等线" w:hAnsi="Times New Roman" w:cs="Times New Roman"/>
          <w:spacing w:val="6"/>
          <w:sz w:val="19"/>
          <w:szCs w:val="19"/>
        </w:rPr>
        <w:lastRenderedPageBreak/>
        <w:t>版本：</w:t>
      </w:r>
      <w:r w:rsidRPr="00C6293E">
        <w:rPr>
          <w:rFonts w:ascii="Times New Roman" w:eastAsia="宋体" w:hAnsi="Times New Roman" w:cs="Times New Roman"/>
          <w:spacing w:val="6"/>
          <w:sz w:val="19"/>
          <w:szCs w:val="19"/>
        </w:rPr>
        <w:t>01</w:t>
      </w:r>
    </w:p>
    <w:p w:rsidR="00262EF8" w:rsidRPr="00C6293E" w:rsidRDefault="009C616F">
      <w:pPr>
        <w:spacing w:line="14" w:lineRule="auto"/>
        <w:rPr>
          <w:rFonts w:ascii="Times New Roman" w:hAnsi="Times New Roman" w:cs="Times New Roman"/>
          <w:sz w:val="2"/>
        </w:rPr>
      </w:pPr>
      <w:r w:rsidRPr="00C6293E">
        <w:rPr>
          <w:rFonts w:ascii="Times New Roman" w:hAnsi="Times New Roman" w:cs="Times New Roman"/>
          <w:sz w:val="2"/>
          <w:szCs w:val="2"/>
        </w:rPr>
        <w:br w:type="column"/>
      </w:r>
    </w:p>
    <w:p w:rsidR="00262EF8" w:rsidRPr="00C6293E" w:rsidRDefault="009C616F" w:rsidP="001B68F6">
      <w:pPr>
        <w:spacing w:before="40" w:line="200" w:lineRule="auto"/>
        <w:rPr>
          <w:rFonts w:ascii="Times New Roman" w:eastAsia="等线" w:hAnsi="Times New Roman" w:cs="Times New Roman"/>
          <w:sz w:val="19"/>
          <w:szCs w:val="19"/>
          <w:lang w:eastAsia="zh-CN"/>
        </w:rPr>
        <w:sectPr w:rsidR="00262EF8" w:rsidRPr="00C6293E">
          <w:type w:val="continuous"/>
          <w:pgSz w:w="11900" w:h="16841"/>
          <w:pgMar w:top="1334" w:right="1784" w:bottom="976" w:left="1784" w:header="645" w:footer="440" w:gutter="0"/>
          <w:cols w:num="2" w:space="720" w:equalWidth="0">
            <w:col w:w="6349" w:space="100"/>
            <w:col w:w="1881"/>
          </w:cols>
        </w:sectPr>
      </w:pPr>
      <w:proofErr w:type="spellStart"/>
      <w:r w:rsidRPr="00C6293E">
        <w:rPr>
          <w:rFonts w:ascii="Times New Roman" w:eastAsia="等线" w:hAnsi="Times New Roman" w:cs="Times New Roman"/>
          <w:spacing w:val="5"/>
          <w:sz w:val="19"/>
          <w:szCs w:val="19"/>
        </w:rPr>
        <w:t>生效日期</w:t>
      </w:r>
      <w:proofErr w:type="spellEnd"/>
      <w:r w:rsidRPr="00C6293E">
        <w:rPr>
          <w:rFonts w:ascii="Times New Roman" w:eastAsia="等线" w:hAnsi="Times New Roman" w:cs="Times New Roman"/>
          <w:spacing w:val="5"/>
          <w:sz w:val="19"/>
          <w:szCs w:val="19"/>
        </w:rPr>
        <w:t xml:space="preserve"> </w:t>
      </w:r>
      <w:r w:rsidR="001B68F6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>:0</w:t>
      </w:r>
      <w:r w:rsidR="001B68F6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>1/04/</w:t>
      </w:r>
      <w:r w:rsidR="001B68F6">
        <w:rPr>
          <w:rFonts w:ascii="Times New Roman" w:eastAsia="等线" w:hAnsi="Times New Roman" w:cs="Times New Roman" w:hint="eastAsia"/>
          <w:spacing w:val="5"/>
          <w:sz w:val="19"/>
          <w:szCs w:val="19"/>
          <w:lang w:eastAsia="zh-CN"/>
        </w:rPr>
        <w:t>2</w:t>
      </w:r>
      <w:r w:rsidR="001B68F6">
        <w:rPr>
          <w:rFonts w:ascii="Times New Roman" w:eastAsia="等线" w:hAnsi="Times New Roman" w:cs="Times New Roman"/>
          <w:spacing w:val="5"/>
          <w:sz w:val="19"/>
          <w:szCs w:val="19"/>
          <w:lang w:eastAsia="zh-CN"/>
        </w:rPr>
        <w:t>024</w:t>
      </w:r>
    </w:p>
    <w:p w:rsidR="00262EF8" w:rsidRPr="00C6293E" w:rsidRDefault="00262EF8">
      <w:pPr>
        <w:spacing w:line="280" w:lineRule="auto"/>
        <w:rPr>
          <w:rFonts w:ascii="Times New Roman" w:hAnsi="Times New Roman" w:cs="Times New Roman"/>
        </w:rPr>
      </w:pPr>
    </w:p>
    <w:p w:rsidR="00262EF8" w:rsidRPr="00C6293E" w:rsidRDefault="00262EF8">
      <w:pPr>
        <w:spacing w:line="280" w:lineRule="auto"/>
        <w:rPr>
          <w:rFonts w:ascii="Times New Roman" w:hAnsi="Times New Roman" w:cs="Times New Roman"/>
        </w:rPr>
      </w:pPr>
    </w:p>
    <w:p w:rsidR="00262EF8" w:rsidRPr="00C6293E" w:rsidRDefault="001E3D3C">
      <w:pPr>
        <w:pStyle w:val="a0"/>
        <w:spacing w:before="172" w:line="266" w:lineRule="auto"/>
        <w:ind w:left="3171" w:right="531" w:hanging="2635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_Toc143167112"/>
      <w:bookmarkStart w:id="1" w:name="_Toc143185307"/>
      <w:bookmarkStart w:id="2" w:name="_Toc154493426"/>
      <w:r w:rsidRPr="001E3D3C">
        <w:rPr>
          <w:rFonts w:ascii="Times New Roman" w:hAnsi="Times New Roman" w:cs="Times New Roman"/>
          <w:b/>
          <w:bCs/>
          <w:spacing w:val="-2"/>
          <w:sz w:val="40"/>
          <w:szCs w:val="40"/>
        </w:rPr>
        <w:t>Anti-</w:t>
      </w:r>
      <w:proofErr w:type="spellStart"/>
      <w:r w:rsidRPr="001E3D3C">
        <w:rPr>
          <w:rFonts w:ascii="Times New Roman" w:hAnsi="Times New Roman" w:cs="Times New Roman"/>
          <w:b/>
          <w:bCs/>
          <w:spacing w:val="-2"/>
          <w:sz w:val="40"/>
          <w:szCs w:val="40"/>
        </w:rPr>
        <w:t>GFP_</w:t>
      </w:r>
      <w:r w:rsidR="001B68F6">
        <w:rPr>
          <w:rFonts w:ascii="Times New Roman" w:hAnsi="Times New Roman" w:cs="Times New Roman"/>
          <w:b/>
          <w:bCs/>
          <w:spacing w:val="-2"/>
          <w:sz w:val="40"/>
          <w:szCs w:val="40"/>
        </w:rPr>
        <w:t>A</w:t>
      </w:r>
      <w:r w:rsidRPr="001E3D3C">
        <w:rPr>
          <w:rFonts w:ascii="Times New Roman" w:hAnsi="Times New Roman" w:cs="Times New Roman"/>
          <w:b/>
          <w:bCs/>
          <w:spacing w:val="-2"/>
          <w:sz w:val="40"/>
          <w:szCs w:val="40"/>
        </w:rPr>
        <w:t>ffinity</w:t>
      </w:r>
      <w:proofErr w:type="spellEnd"/>
      <w:r w:rsidRPr="001E3D3C">
        <w:rPr>
          <w:rFonts w:ascii="Times New Roman" w:hAnsi="Times New Roman" w:cs="Times New Roman"/>
          <w:b/>
          <w:bCs/>
          <w:spacing w:val="-2"/>
          <w:sz w:val="40"/>
          <w:szCs w:val="40"/>
        </w:rPr>
        <w:t xml:space="preserve"> beads</w:t>
      </w:r>
      <w:r w:rsidR="009C616F" w:rsidRPr="00C6293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9C616F" w:rsidRPr="00C6293E">
        <w:rPr>
          <w:rFonts w:ascii="Times New Roman" w:hAnsi="Times New Roman" w:cs="Times New Roman"/>
          <w:b/>
          <w:bCs/>
          <w:spacing w:val="-1"/>
          <w:sz w:val="40"/>
          <w:szCs w:val="40"/>
        </w:rPr>
        <w:t>使用说明书</w:t>
      </w:r>
      <w:bookmarkEnd w:id="0"/>
      <w:bookmarkEnd w:id="1"/>
      <w:bookmarkEnd w:id="2"/>
      <w:proofErr w:type="spellEnd"/>
    </w:p>
    <w:p w:rsidR="00262EF8" w:rsidRPr="00C6293E" w:rsidRDefault="00262EF8">
      <w:pPr>
        <w:spacing w:line="241" w:lineRule="auto"/>
        <w:rPr>
          <w:rFonts w:ascii="Times New Roman" w:hAnsi="Times New Roman" w:cs="Times New Roman"/>
        </w:rPr>
      </w:pPr>
    </w:p>
    <w:p w:rsidR="00262EF8" w:rsidRPr="00C6293E" w:rsidRDefault="00262EF8">
      <w:pPr>
        <w:spacing w:line="268" w:lineRule="auto"/>
        <w:rPr>
          <w:rFonts w:ascii="Times New Roman" w:hAnsi="Times New Roman" w:cs="Times New Roman"/>
        </w:rPr>
      </w:pPr>
    </w:p>
    <w:p w:rsidR="00262EF8" w:rsidRPr="00C6293E" w:rsidRDefault="00262EF8">
      <w:pPr>
        <w:spacing w:line="268" w:lineRule="auto"/>
        <w:rPr>
          <w:rFonts w:ascii="Times New Roman" w:hAnsi="Times New Roman" w:cs="Times New Roman"/>
        </w:rPr>
      </w:pPr>
    </w:p>
    <w:p w:rsidR="00262EF8" w:rsidRPr="00C6293E" w:rsidRDefault="00262EF8">
      <w:pPr>
        <w:spacing w:line="309" w:lineRule="auto"/>
        <w:rPr>
          <w:rFonts w:ascii="Times New Roman" w:hAnsi="Times New Roman" w:cs="Times New Roman"/>
        </w:rPr>
      </w:pPr>
      <w:bookmarkStart w:id="3" w:name="bookmark1"/>
      <w:bookmarkEnd w:id="3"/>
    </w:p>
    <w:p w:rsidR="00262EF8" w:rsidRPr="00C6293E" w:rsidRDefault="00262EF8">
      <w:pPr>
        <w:spacing w:line="310" w:lineRule="auto"/>
        <w:rPr>
          <w:rFonts w:ascii="Times New Roman" w:hAnsi="Times New Roman" w:cs="Times New Roman"/>
        </w:rPr>
      </w:pPr>
    </w:p>
    <w:sdt>
      <w:sdtPr>
        <w:rPr>
          <w:rFonts w:ascii="Times New Roman" w:eastAsia="Arial" w:hAnsi="Times New Roman" w:cs="Arial"/>
          <w:snapToGrid w:val="0"/>
          <w:color w:val="000000"/>
          <w:sz w:val="21"/>
          <w:szCs w:val="21"/>
          <w:lang w:val="zh-CN" w:eastAsia="en-US"/>
        </w:rPr>
        <w:id w:val="2124044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3DA7" w:rsidRDefault="00C6293E">
          <w:pPr>
            <w:pStyle w:val="11"/>
            <w:tabs>
              <w:tab w:val="right" w:leader="dot" w:pos="8320"/>
            </w:tabs>
            <w:rPr>
              <w:rFonts w:cstheme="minorBidi"/>
              <w:noProof/>
              <w:kern w:val="2"/>
              <w:sz w:val="21"/>
            </w:rPr>
          </w:pPr>
          <w:r w:rsidRPr="001714DE">
            <w:rPr>
              <w:rFonts w:ascii="微软雅黑" w:eastAsia="微软雅黑" w:hAnsi="微软雅黑"/>
            </w:rPr>
            <w:fldChar w:fldCharType="begin"/>
          </w:r>
          <w:r w:rsidRPr="001714DE">
            <w:rPr>
              <w:rFonts w:ascii="微软雅黑" w:eastAsia="微软雅黑" w:hAnsi="微软雅黑"/>
            </w:rPr>
            <w:instrText xml:space="preserve"> TOC \o "1-3" \h \z \u </w:instrText>
          </w:r>
          <w:r w:rsidRPr="001714DE">
            <w:rPr>
              <w:rFonts w:ascii="微软雅黑" w:eastAsia="微软雅黑" w:hAnsi="微软雅黑"/>
            </w:rPr>
            <w:fldChar w:fldCharType="separate"/>
          </w:r>
          <w:hyperlink w:anchor="_Toc154493426" w:history="1">
            <w:r w:rsidR="001E3D3C" w:rsidRPr="001E3D3C">
              <w:t xml:space="preserve"> </w:t>
            </w:r>
            <w:r w:rsidR="001E3D3C" w:rsidRPr="001E3D3C">
              <w:rPr>
                <w:rStyle w:val="aa"/>
                <w:rFonts w:ascii="Times New Roman" w:hAnsi="Times New Roman"/>
                <w:b/>
                <w:bCs/>
                <w:noProof/>
                <w:spacing w:val="-2"/>
              </w:rPr>
              <w:t>Anti-GFP_</w:t>
            </w:r>
            <w:r w:rsidR="001B68F6">
              <w:rPr>
                <w:rStyle w:val="aa"/>
                <w:rFonts w:ascii="Times New Roman" w:hAnsi="Times New Roman"/>
                <w:b/>
                <w:bCs/>
                <w:noProof/>
                <w:spacing w:val="-2"/>
              </w:rPr>
              <w:t>A</w:t>
            </w:r>
            <w:r w:rsidR="001E3D3C" w:rsidRPr="001E3D3C">
              <w:rPr>
                <w:rStyle w:val="aa"/>
                <w:rFonts w:ascii="Times New Roman" w:hAnsi="Times New Roman"/>
                <w:b/>
                <w:bCs/>
                <w:noProof/>
                <w:spacing w:val="-2"/>
              </w:rPr>
              <w:t>ffinity beads</w:t>
            </w:r>
            <w:r w:rsidR="00703DA7" w:rsidRPr="00F04B82">
              <w:rPr>
                <w:rStyle w:val="aa"/>
                <w:rFonts w:ascii="Times New Roman" w:hAnsi="Times New Roman"/>
                <w:b/>
                <w:bCs/>
                <w:noProof/>
                <w:spacing w:val="-1"/>
              </w:rPr>
              <w:t>使用说明书</w:t>
            </w:r>
            <w:r w:rsidR="00703DA7">
              <w:rPr>
                <w:noProof/>
                <w:webHidden/>
              </w:rPr>
              <w:tab/>
            </w:r>
            <w:r w:rsidR="00703DA7">
              <w:rPr>
                <w:noProof/>
                <w:webHidden/>
              </w:rPr>
              <w:fldChar w:fldCharType="begin"/>
            </w:r>
            <w:r w:rsidR="00703DA7">
              <w:rPr>
                <w:noProof/>
                <w:webHidden/>
              </w:rPr>
              <w:instrText xml:space="preserve"> PAGEREF _Toc154493426 \h </w:instrText>
            </w:r>
            <w:r w:rsidR="00703DA7">
              <w:rPr>
                <w:noProof/>
                <w:webHidden/>
              </w:rPr>
            </w:r>
            <w:r w:rsidR="00703DA7">
              <w:rPr>
                <w:noProof/>
                <w:webHidden/>
              </w:rPr>
              <w:fldChar w:fldCharType="separate"/>
            </w:r>
            <w:r w:rsidR="00703DA7">
              <w:rPr>
                <w:noProof/>
                <w:webHidden/>
              </w:rPr>
              <w:t>0</w:t>
            </w:r>
            <w:r w:rsidR="00703DA7">
              <w:rPr>
                <w:noProof/>
                <w:webHidden/>
              </w:rPr>
              <w:fldChar w:fldCharType="end"/>
            </w:r>
          </w:hyperlink>
        </w:p>
        <w:p w:rsidR="00703DA7" w:rsidRDefault="00EA2D06">
          <w:pPr>
            <w:pStyle w:val="11"/>
            <w:tabs>
              <w:tab w:val="right" w:leader="dot" w:pos="8320"/>
            </w:tabs>
            <w:rPr>
              <w:rFonts w:cstheme="minorBidi"/>
              <w:noProof/>
              <w:kern w:val="2"/>
              <w:sz w:val="21"/>
            </w:rPr>
          </w:pPr>
          <w:hyperlink w:anchor="_Toc154493427" w:history="1">
            <w:r w:rsidR="00703DA7" w:rsidRPr="00F04B82">
              <w:rPr>
                <w:rStyle w:val="aa"/>
                <w:rFonts w:ascii="Times New Roman" w:hAnsi="Times New Roman"/>
                <w:noProof/>
              </w:rPr>
              <w:t xml:space="preserve">1.   </w:t>
            </w:r>
            <w:r w:rsidR="00703DA7" w:rsidRPr="00F04B82">
              <w:rPr>
                <w:rStyle w:val="aa"/>
                <w:rFonts w:ascii="Times New Roman" w:hAnsi="Times New Roman"/>
                <w:noProof/>
              </w:rPr>
              <w:t>产品信息</w:t>
            </w:r>
            <w:r w:rsidR="00703DA7">
              <w:rPr>
                <w:noProof/>
                <w:webHidden/>
              </w:rPr>
              <w:tab/>
            </w:r>
            <w:r w:rsidR="00703DA7">
              <w:rPr>
                <w:noProof/>
                <w:webHidden/>
              </w:rPr>
              <w:fldChar w:fldCharType="begin"/>
            </w:r>
            <w:r w:rsidR="00703DA7">
              <w:rPr>
                <w:noProof/>
                <w:webHidden/>
              </w:rPr>
              <w:instrText xml:space="preserve"> PAGEREF _Toc154493427 \h </w:instrText>
            </w:r>
            <w:r w:rsidR="00703DA7">
              <w:rPr>
                <w:noProof/>
                <w:webHidden/>
              </w:rPr>
            </w:r>
            <w:r w:rsidR="00703DA7">
              <w:rPr>
                <w:noProof/>
                <w:webHidden/>
              </w:rPr>
              <w:fldChar w:fldCharType="separate"/>
            </w:r>
            <w:r w:rsidR="00703DA7">
              <w:rPr>
                <w:noProof/>
                <w:webHidden/>
              </w:rPr>
              <w:t>1</w:t>
            </w:r>
            <w:r w:rsidR="00703DA7">
              <w:rPr>
                <w:noProof/>
                <w:webHidden/>
              </w:rPr>
              <w:fldChar w:fldCharType="end"/>
            </w:r>
          </w:hyperlink>
        </w:p>
        <w:p w:rsidR="00703DA7" w:rsidRDefault="00EA2D06" w:rsidP="00703DA7">
          <w:pPr>
            <w:pStyle w:val="11"/>
            <w:tabs>
              <w:tab w:val="right" w:leader="dot" w:pos="8320"/>
            </w:tabs>
            <w:rPr>
              <w:rFonts w:cstheme="minorBidi"/>
              <w:noProof/>
              <w:kern w:val="2"/>
              <w:sz w:val="21"/>
            </w:rPr>
          </w:pPr>
          <w:hyperlink w:anchor="_Toc154493428" w:history="1">
            <w:r w:rsidR="00703DA7" w:rsidRPr="00F04B82">
              <w:rPr>
                <w:rStyle w:val="aa"/>
                <w:rFonts w:ascii="Times New Roman" w:hAnsi="Times New Roman"/>
                <w:noProof/>
              </w:rPr>
              <w:t xml:space="preserve">2.   </w:t>
            </w:r>
            <w:r w:rsidR="00703DA7" w:rsidRPr="00F04B82">
              <w:rPr>
                <w:rStyle w:val="aa"/>
                <w:rFonts w:ascii="Times New Roman" w:hAnsi="Times New Roman"/>
                <w:noProof/>
              </w:rPr>
              <w:t>使用说明</w:t>
            </w:r>
            <w:r w:rsidR="00703DA7">
              <w:rPr>
                <w:noProof/>
                <w:webHidden/>
              </w:rPr>
              <w:tab/>
            </w:r>
            <w:r w:rsidR="00703DA7">
              <w:rPr>
                <w:noProof/>
                <w:webHidden/>
              </w:rPr>
              <w:fldChar w:fldCharType="begin"/>
            </w:r>
            <w:r w:rsidR="00703DA7">
              <w:rPr>
                <w:noProof/>
                <w:webHidden/>
              </w:rPr>
              <w:instrText xml:space="preserve"> PAGEREF _Toc154493428 \h </w:instrText>
            </w:r>
            <w:r w:rsidR="00703DA7">
              <w:rPr>
                <w:noProof/>
                <w:webHidden/>
              </w:rPr>
            </w:r>
            <w:r w:rsidR="00703DA7">
              <w:rPr>
                <w:noProof/>
                <w:webHidden/>
              </w:rPr>
              <w:fldChar w:fldCharType="separate"/>
            </w:r>
            <w:r w:rsidR="00703DA7">
              <w:rPr>
                <w:noProof/>
                <w:webHidden/>
              </w:rPr>
              <w:t>1</w:t>
            </w:r>
            <w:r w:rsidR="00703DA7">
              <w:rPr>
                <w:noProof/>
                <w:webHidden/>
              </w:rPr>
              <w:fldChar w:fldCharType="end"/>
            </w:r>
          </w:hyperlink>
        </w:p>
        <w:p w:rsidR="00703DA7" w:rsidRDefault="00EA2D06">
          <w:pPr>
            <w:pStyle w:val="11"/>
            <w:tabs>
              <w:tab w:val="right" w:leader="dot" w:pos="8320"/>
            </w:tabs>
            <w:rPr>
              <w:rFonts w:cstheme="minorBidi"/>
              <w:noProof/>
              <w:kern w:val="2"/>
              <w:sz w:val="21"/>
            </w:rPr>
          </w:pPr>
          <w:hyperlink w:anchor="_Toc154493430" w:history="1">
            <w:r w:rsidR="00703DA7" w:rsidRPr="00F04B82">
              <w:rPr>
                <w:rStyle w:val="aa"/>
                <w:rFonts w:ascii="Times New Roman" w:hAnsi="Times New Roman"/>
                <w:noProof/>
              </w:rPr>
              <w:t xml:space="preserve">3.   </w:t>
            </w:r>
            <w:r w:rsidR="00703DA7" w:rsidRPr="00F04B82">
              <w:rPr>
                <w:rStyle w:val="aa"/>
                <w:rFonts w:ascii="Times New Roman" w:hAnsi="Times New Roman"/>
                <w:noProof/>
              </w:rPr>
              <w:t>试剂兼容性表</w:t>
            </w:r>
            <w:r w:rsidR="00703DA7">
              <w:rPr>
                <w:noProof/>
                <w:webHidden/>
              </w:rPr>
              <w:tab/>
            </w:r>
            <w:r w:rsidR="00703DA7">
              <w:rPr>
                <w:noProof/>
                <w:webHidden/>
              </w:rPr>
              <w:fldChar w:fldCharType="begin"/>
            </w:r>
            <w:r w:rsidR="00703DA7">
              <w:rPr>
                <w:noProof/>
                <w:webHidden/>
              </w:rPr>
              <w:instrText xml:space="preserve"> PAGEREF _Toc154493430 \h </w:instrText>
            </w:r>
            <w:r w:rsidR="00703DA7">
              <w:rPr>
                <w:noProof/>
                <w:webHidden/>
              </w:rPr>
            </w:r>
            <w:r w:rsidR="00703DA7">
              <w:rPr>
                <w:noProof/>
                <w:webHidden/>
              </w:rPr>
              <w:fldChar w:fldCharType="separate"/>
            </w:r>
            <w:r w:rsidR="00703DA7">
              <w:rPr>
                <w:noProof/>
                <w:webHidden/>
              </w:rPr>
              <w:t>2</w:t>
            </w:r>
            <w:r w:rsidR="00703DA7">
              <w:rPr>
                <w:noProof/>
                <w:webHidden/>
              </w:rPr>
              <w:fldChar w:fldCharType="end"/>
            </w:r>
          </w:hyperlink>
        </w:p>
        <w:p w:rsidR="00703DA7" w:rsidRDefault="00EA2D06">
          <w:pPr>
            <w:pStyle w:val="11"/>
            <w:tabs>
              <w:tab w:val="right" w:leader="dot" w:pos="8320"/>
            </w:tabs>
            <w:rPr>
              <w:rFonts w:cstheme="minorBidi"/>
              <w:noProof/>
              <w:kern w:val="2"/>
              <w:sz w:val="21"/>
            </w:rPr>
          </w:pPr>
          <w:hyperlink w:anchor="_Toc154493431" w:history="1"/>
          <w:hyperlink w:anchor="_Toc154493433" w:history="1">
            <w:r w:rsidR="00AB2CA1">
              <w:rPr>
                <w:rStyle w:val="aa"/>
                <w:rFonts w:ascii="Times New Roman" w:hAnsi="Times New Roman"/>
                <w:noProof/>
              </w:rPr>
              <w:t>4</w:t>
            </w:r>
            <w:r w:rsidR="00703DA7" w:rsidRPr="00F04B82">
              <w:rPr>
                <w:rStyle w:val="aa"/>
                <w:rFonts w:ascii="Times New Roman" w:hAnsi="Times New Roman"/>
                <w:noProof/>
              </w:rPr>
              <w:t xml:space="preserve">.   </w:t>
            </w:r>
            <w:r w:rsidR="00703DA7" w:rsidRPr="00F04B82">
              <w:rPr>
                <w:rStyle w:val="aa"/>
                <w:rFonts w:ascii="Times New Roman" w:hAnsi="Times New Roman"/>
                <w:noProof/>
              </w:rPr>
              <w:t>问题处理</w:t>
            </w:r>
            <w:r w:rsidR="00703DA7">
              <w:rPr>
                <w:noProof/>
                <w:webHidden/>
              </w:rPr>
              <w:tab/>
            </w:r>
            <w:r w:rsidR="00AB2CA1">
              <w:rPr>
                <w:noProof/>
                <w:webHidden/>
              </w:rPr>
              <w:t>3</w:t>
            </w:r>
          </w:hyperlink>
        </w:p>
        <w:p w:rsidR="00C6293E" w:rsidRPr="00C6293E" w:rsidRDefault="00C6293E" w:rsidP="001714DE">
          <w:pPr>
            <w:spacing w:line="480" w:lineRule="auto"/>
            <w:rPr>
              <w:rFonts w:ascii="Times New Roman" w:hAnsi="Times New Roman" w:cs="Times New Roman"/>
            </w:rPr>
          </w:pPr>
          <w:r w:rsidRPr="001714DE">
            <w:rPr>
              <w:rFonts w:ascii="微软雅黑" w:eastAsia="微软雅黑" w:hAnsi="微软雅黑" w:cs="Times New Roman"/>
              <w:b/>
              <w:bCs/>
              <w:lang w:val="zh-CN"/>
            </w:rPr>
            <w:fldChar w:fldCharType="end"/>
          </w:r>
        </w:p>
      </w:sdtContent>
    </w:sdt>
    <w:p w:rsidR="00262EF8" w:rsidRPr="00C6293E" w:rsidRDefault="00262EF8">
      <w:pPr>
        <w:spacing w:line="244" w:lineRule="auto"/>
        <w:rPr>
          <w:rFonts w:ascii="Times New Roman" w:hAnsi="Times New Roman" w:cs="Times New Roman"/>
          <w:lang w:eastAsia="zh-CN"/>
        </w:rPr>
      </w:pPr>
    </w:p>
    <w:p w:rsidR="00262EF8" w:rsidRPr="00C6293E" w:rsidRDefault="00262EF8">
      <w:pPr>
        <w:spacing w:line="245" w:lineRule="auto"/>
        <w:rPr>
          <w:rFonts w:ascii="Times New Roman" w:eastAsiaTheme="minorEastAsia" w:hAnsi="Times New Roman" w:cs="Times New Roman"/>
          <w:lang w:eastAsia="zh-CN"/>
        </w:rPr>
      </w:pPr>
    </w:p>
    <w:p w:rsidR="00262EF8" w:rsidRPr="00C6293E" w:rsidRDefault="009C616F">
      <w:pPr>
        <w:pStyle w:val="a0"/>
        <w:spacing w:before="81" w:line="344" w:lineRule="exact"/>
        <w:ind w:left="2067"/>
        <w:rPr>
          <w:rFonts w:ascii="Times New Roman" w:hAnsi="Times New Roman" w:cs="Times New Roman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color w:val="808080"/>
          <w:spacing w:val="9"/>
          <w:position w:val="10"/>
          <w:sz w:val="19"/>
          <w:szCs w:val="19"/>
          <w:lang w:eastAsia="zh-CN"/>
        </w:rPr>
        <w:t>操作者在使用本产品之前必须认真阅读操作指南</w:t>
      </w:r>
    </w:p>
    <w:p w:rsidR="00262EF8" w:rsidRPr="00C6293E" w:rsidRDefault="009C616F">
      <w:pPr>
        <w:pStyle w:val="a0"/>
        <w:spacing w:line="212" w:lineRule="exact"/>
        <w:ind w:left="2368"/>
        <w:rPr>
          <w:rFonts w:ascii="Times New Roman" w:hAnsi="Times New Roman" w:cs="Times New Roman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color w:val="808080"/>
          <w:spacing w:val="9"/>
          <w:sz w:val="19"/>
          <w:szCs w:val="19"/>
          <w:lang w:eastAsia="zh-CN"/>
        </w:rPr>
        <w:t>本产品仅供科研使用，不能用于临床诊断</w:t>
      </w:r>
    </w:p>
    <w:p w:rsidR="00262EF8" w:rsidRPr="00C6293E" w:rsidRDefault="00262EF8">
      <w:pPr>
        <w:spacing w:line="212" w:lineRule="exact"/>
        <w:rPr>
          <w:rFonts w:ascii="Times New Roman" w:hAnsi="Times New Roman" w:cs="Times New Roman"/>
          <w:sz w:val="19"/>
          <w:szCs w:val="19"/>
          <w:lang w:eastAsia="zh-CN"/>
        </w:rPr>
        <w:sectPr w:rsidR="00262EF8" w:rsidRPr="00C6293E">
          <w:type w:val="continuous"/>
          <w:pgSz w:w="11900" w:h="16841"/>
          <w:pgMar w:top="1334" w:right="1784" w:bottom="976" w:left="1784" w:header="645" w:footer="440" w:gutter="0"/>
          <w:cols w:space="720" w:equalWidth="0">
            <w:col w:w="8330"/>
          </w:cols>
        </w:sectPr>
      </w:pPr>
    </w:p>
    <w:p w:rsidR="00262EF8" w:rsidRPr="00C6293E" w:rsidRDefault="009C616F" w:rsidP="00C6293E">
      <w:pPr>
        <w:pStyle w:val="a8"/>
        <w:rPr>
          <w:rFonts w:ascii="Times New Roman" w:hAnsi="Times New Roman" w:cs="Times New Roman"/>
        </w:rPr>
      </w:pPr>
      <w:bookmarkStart w:id="4" w:name="_Toc154493427"/>
      <w:r w:rsidRPr="00C6293E">
        <w:rPr>
          <w:rFonts w:ascii="Times New Roman" w:hAnsi="Times New Roman" w:cs="Times New Roman"/>
        </w:rPr>
        <w:lastRenderedPageBreak/>
        <w:t xml:space="preserve">1.   </w:t>
      </w:r>
      <w:r w:rsidRPr="00C6293E">
        <w:rPr>
          <w:rFonts w:ascii="Times New Roman" w:hAnsi="Times New Roman" w:cs="Times New Roman"/>
        </w:rPr>
        <w:t>产品信息</w:t>
      </w:r>
      <w:bookmarkEnd w:id="4"/>
    </w:p>
    <w:p w:rsidR="00262EF8" w:rsidRPr="00C6293E" w:rsidRDefault="009C616F" w:rsidP="002C1AA4">
      <w:pPr>
        <w:pStyle w:val="a0"/>
        <w:spacing w:before="219" w:line="252" w:lineRule="auto"/>
        <w:ind w:left="17" w:right="56" w:firstLineChars="200" w:firstLine="392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GFP(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绿色荧光蛋白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)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或其突变体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EGFP(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增强型绿色荧光蛋白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)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被广泛应用于检测基因表达效率以及目的蛋白的表达和分布。</w:t>
      </w:r>
      <w:proofErr w:type="spellStart"/>
      <w:r w:rsidR="00FE69BA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e</w:t>
      </w:r>
      <w:r w:rsidR="006314A9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GFP</w:t>
      </w:r>
      <w:proofErr w:type="spellEnd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作为标签蛋白，其融合目的蛋白自发荧光，不需要目的基因的抗体或杂交就能知道目的基因在细胞中的定位，其他物质干扰小。佰</w:t>
      </w:r>
      <w:proofErr w:type="gramStart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翱</w:t>
      </w:r>
      <w:proofErr w:type="gramEnd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得</w:t>
      </w:r>
      <w:r w:rsidR="001E3D3C" w:rsidRPr="001E3D3C">
        <w:rPr>
          <w:rFonts w:ascii="Times New Roman" w:hAnsi="Times New Roman" w:cs="Times New Roman"/>
          <w:spacing w:val="6"/>
          <w:sz w:val="19"/>
          <w:szCs w:val="19"/>
          <w:lang w:eastAsia="zh-CN"/>
        </w:rPr>
        <w:t>Anti-</w:t>
      </w:r>
      <w:proofErr w:type="spellStart"/>
      <w:r w:rsidR="001E3D3C" w:rsidRPr="001E3D3C">
        <w:rPr>
          <w:rFonts w:ascii="Times New Roman" w:hAnsi="Times New Roman" w:cs="Times New Roman"/>
          <w:spacing w:val="6"/>
          <w:sz w:val="19"/>
          <w:szCs w:val="19"/>
          <w:lang w:eastAsia="zh-CN"/>
        </w:rPr>
        <w:t>GFP_</w:t>
      </w:r>
      <w:r w:rsidR="00D839CD">
        <w:rPr>
          <w:rFonts w:ascii="Times New Roman" w:hAnsi="Times New Roman" w:cs="Times New Roman"/>
          <w:spacing w:val="6"/>
          <w:sz w:val="19"/>
          <w:szCs w:val="19"/>
          <w:lang w:eastAsia="zh-CN"/>
        </w:rPr>
        <w:t>A</w:t>
      </w:r>
      <w:r w:rsidR="001E3D3C" w:rsidRPr="001E3D3C">
        <w:rPr>
          <w:rFonts w:ascii="Times New Roman" w:hAnsi="Times New Roman" w:cs="Times New Roman"/>
          <w:spacing w:val="6"/>
          <w:sz w:val="19"/>
          <w:szCs w:val="19"/>
          <w:lang w:eastAsia="zh-CN"/>
        </w:rPr>
        <w:t>ffinity</w:t>
      </w:r>
      <w:proofErr w:type="spellEnd"/>
      <w:r w:rsidR="001E3D3C" w:rsidRPr="001E3D3C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beads</w:t>
      </w:r>
      <w:r w:rsidR="001E3D3C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具有高亲和力、高</w:t>
      </w:r>
      <w:r w:rsidR="00364D58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特异性、高灵敏度、性质稳定等特点，</w:t>
      </w:r>
      <w:r w:rsidR="00D57465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主要用于</w:t>
      </w:r>
      <w:r w:rsidR="006314A9" w:rsidRPr="002C1AA4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原核</w:t>
      </w:r>
      <w:r w:rsidR="00627815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、</w:t>
      </w:r>
      <w:r w:rsidR="006314A9" w:rsidRPr="002C1AA4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真核</w:t>
      </w:r>
      <w:r w:rsidR="00364D58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细胞等常用蛋白表达</w:t>
      </w:r>
      <w:r w:rsidR="00627815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系统</w:t>
      </w:r>
      <w:r w:rsidR="00FE69BA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中含有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GFP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、</w:t>
      </w:r>
      <w:proofErr w:type="spellStart"/>
      <w:r w:rsidR="00FE69BA">
        <w:rPr>
          <w:rFonts w:ascii="Times New Roman" w:hAnsi="Times New Roman" w:cs="Times New Roman"/>
          <w:spacing w:val="6"/>
          <w:sz w:val="19"/>
          <w:szCs w:val="19"/>
          <w:lang w:eastAsia="zh-CN"/>
        </w:rPr>
        <w:t>e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GFP</w:t>
      </w:r>
      <w:proofErr w:type="spellEnd"/>
      <w:r w:rsidR="00627815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标签融合蛋白的亲和纯化和检测</w:t>
      </w:r>
      <w:r w:rsidR="00FE69BA">
        <w:rPr>
          <w:rFonts w:ascii="Times New Roman" w:hAnsi="Times New Roman" w:cs="Times New Roman" w:hint="eastAsia"/>
          <w:spacing w:val="8"/>
          <w:sz w:val="19"/>
          <w:szCs w:val="19"/>
          <w:lang w:eastAsia="zh-CN"/>
        </w:rPr>
        <w:t>。</w:t>
      </w:r>
    </w:p>
    <w:p w:rsidR="00262EF8" w:rsidRPr="00C6293E" w:rsidRDefault="009C616F">
      <w:pPr>
        <w:pStyle w:val="a0"/>
        <w:spacing w:before="22" w:line="160" w:lineRule="auto"/>
        <w:ind w:left="3059"/>
        <w:rPr>
          <w:rFonts w:ascii="Times New Roman" w:hAnsi="Times New Roman" w:cs="Times New Roman"/>
          <w:sz w:val="19"/>
          <w:szCs w:val="19"/>
        </w:rPr>
      </w:pPr>
      <w:r w:rsidRPr="00C6293E">
        <w:rPr>
          <w:rFonts w:ascii="Times New Roman" w:hAnsi="Times New Roman" w:cs="Times New Roman"/>
          <w:spacing w:val="6"/>
          <w:sz w:val="19"/>
          <w:szCs w:val="19"/>
        </w:rPr>
        <w:t>表</w:t>
      </w:r>
      <w:r w:rsidRPr="00C6293E">
        <w:rPr>
          <w:rFonts w:ascii="Times New Roman" w:hAnsi="Times New Roman" w:cs="Times New Roman"/>
          <w:spacing w:val="6"/>
          <w:sz w:val="19"/>
          <w:szCs w:val="19"/>
        </w:rPr>
        <w:t xml:space="preserve"> 1.</w:t>
      </w:r>
      <w:r w:rsidRPr="00C6293E">
        <w:rPr>
          <w:rFonts w:ascii="Times New Roman" w:hAnsi="Times New Roman" w:cs="Times New Roman"/>
          <w:spacing w:val="15"/>
          <w:sz w:val="19"/>
          <w:szCs w:val="19"/>
        </w:rPr>
        <w:t xml:space="preserve">   </w:t>
      </w:r>
      <w:proofErr w:type="spellStart"/>
      <w:r w:rsidRPr="00C6293E">
        <w:rPr>
          <w:rFonts w:ascii="Times New Roman" w:hAnsi="Times New Roman" w:cs="Times New Roman"/>
          <w:spacing w:val="6"/>
          <w:sz w:val="19"/>
          <w:szCs w:val="19"/>
        </w:rPr>
        <w:t>本产品的基本特征</w:t>
      </w:r>
      <w:proofErr w:type="spellEnd"/>
    </w:p>
    <w:tbl>
      <w:tblPr>
        <w:tblStyle w:val="TableNormal"/>
        <w:tblW w:w="831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6196"/>
      </w:tblGrid>
      <w:tr w:rsidR="00262EF8" w:rsidRPr="00C6293E" w:rsidTr="008B77AE">
        <w:trPr>
          <w:trHeight w:val="357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97" w:line="184" w:lineRule="auto"/>
              <w:ind w:left="124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产品配置</w:t>
            </w:r>
            <w:proofErr w:type="spellEnd"/>
          </w:p>
        </w:tc>
        <w:tc>
          <w:tcPr>
            <w:tcW w:w="6196" w:type="dxa"/>
          </w:tcPr>
          <w:p w:rsidR="00262EF8" w:rsidRPr="00C6293E" w:rsidRDefault="009C616F" w:rsidP="00227202">
            <w:pPr>
              <w:pStyle w:val="TableText"/>
              <w:spacing w:before="97" w:line="184" w:lineRule="auto"/>
              <w:ind w:left="118"/>
              <w:rPr>
                <w:rFonts w:ascii="Times New Roman" w:hAnsi="Times New Roman" w:cs="Times New Roman"/>
                <w:lang w:eastAsia="zh-CN"/>
              </w:rPr>
            </w:pP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50%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含有</w:t>
            </w:r>
            <w:r w:rsidR="00B66BE5" w:rsidRPr="00C6293E">
              <w:rPr>
                <w:rFonts w:ascii="Times New Roman" w:hAnsi="Times New Roman" w:cs="Times New Roman"/>
                <w:spacing w:val="5"/>
                <w:lang w:eastAsia="zh-CN"/>
              </w:rPr>
              <w:t>0.1%</w:t>
            </w:r>
            <w:r w:rsidR="00F56886" w:rsidRPr="00C6293E"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bookmarkStart w:id="5" w:name="OLE_LINK1"/>
            <w:proofErr w:type="spellStart"/>
            <w:r w:rsidR="00F56886" w:rsidRPr="00C6293E">
              <w:rPr>
                <w:rFonts w:ascii="Times New Roman" w:hAnsi="Times New Roman" w:cs="Times New Roman"/>
                <w:spacing w:val="5"/>
                <w:lang w:eastAsia="zh-CN"/>
              </w:rPr>
              <w:t>ProClean</w:t>
            </w:r>
            <w:proofErr w:type="spellEnd"/>
            <w:r w:rsidR="00F56886" w:rsidRPr="00C6293E">
              <w:rPr>
                <w:rFonts w:ascii="Times New Roman" w:hAnsi="Times New Roman" w:cs="Times New Roman"/>
                <w:spacing w:val="5"/>
                <w:lang w:eastAsia="zh-CN"/>
              </w:rPr>
              <w:t xml:space="preserve"> 950</w:t>
            </w:r>
            <w:bookmarkEnd w:id="5"/>
            <w:r w:rsidR="00F56886" w:rsidRPr="00C6293E">
              <w:rPr>
                <w:rFonts w:ascii="Times New Roman" w:hAnsi="Times New Roman" w:cs="Times New Roman"/>
                <w:spacing w:val="5"/>
                <w:lang w:eastAsia="zh-CN"/>
              </w:rPr>
              <w:t>的磷酸缓冲液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，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50%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沉淀填料</w:t>
            </w:r>
          </w:p>
        </w:tc>
      </w:tr>
      <w:tr w:rsidR="00262EF8" w:rsidRPr="00C6293E" w:rsidTr="008B77AE">
        <w:trPr>
          <w:trHeight w:val="346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87" w:line="183" w:lineRule="auto"/>
              <w:ind w:left="126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7"/>
              </w:rPr>
              <w:t>用途</w:t>
            </w:r>
            <w:proofErr w:type="spellEnd"/>
          </w:p>
        </w:tc>
        <w:tc>
          <w:tcPr>
            <w:tcW w:w="6196" w:type="dxa"/>
          </w:tcPr>
          <w:p w:rsidR="00262EF8" w:rsidRPr="00C6293E" w:rsidRDefault="00F56886" w:rsidP="00227202">
            <w:pPr>
              <w:pStyle w:val="TableText"/>
              <w:spacing w:before="87" w:line="183" w:lineRule="auto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9"/>
              </w:rPr>
              <w:t>亲和纯化</w:t>
            </w:r>
            <w:proofErr w:type="spellEnd"/>
          </w:p>
        </w:tc>
      </w:tr>
      <w:tr w:rsidR="00262EF8" w:rsidRPr="00C6293E" w:rsidTr="008B77AE">
        <w:trPr>
          <w:trHeight w:val="345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89" w:line="181" w:lineRule="auto"/>
              <w:ind w:left="125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7"/>
              </w:rPr>
              <w:t>基质</w:t>
            </w:r>
            <w:proofErr w:type="spellEnd"/>
          </w:p>
        </w:tc>
        <w:tc>
          <w:tcPr>
            <w:tcW w:w="6196" w:type="dxa"/>
          </w:tcPr>
          <w:p w:rsidR="00262EF8" w:rsidRPr="00C6293E" w:rsidRDefault="009C616F" w:rsidP="00227202">
            <w:pPr>
              <w:pStyle w:val="TableText"/>
              <w:spacing w:before="89" w:line="181" w:lineRule="auto"/>
              <w:ind w:left="102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8"/>
              </w:rPr>
              <w:t>4%</w:t>
            </w:r>
            <w:r w:rsidR="00F56886" w:rsidRPr="00C6293E">
              <w:rPr>
                <w:rFonts w:ascii="Times New Roman" w:hAnsi="Times New Roman" w:cs="Times New Roman"/>
                <w:spacing w:val="8"/>
                <w:lang w:eastAsia="zh-CN"/>
              </w:rPr>
              <w:t>高度</w:t>
            </w: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交联琼脂糖</w:t>
            </w:r>
            <w:proofErr w:type="spellEnd"/>
          </w:p>
        </w:tc>
      </w:tr>
      <w:tr w:rsidR="00262EF8" w:rsidRPr="00C6293E" w:rsidTr="008B77AE">
        <w:trPr>
          <w:trHeight w:val="345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91" w:line="179" w:lineRule="auto"/>
              <w:ind w:left="125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7"/>
              </w:rPr>
              <w:t>粒径</w:t>
            </w:r>
            <w:proofErr w:type="spellEnd"/>
          </w:p>
        </w:tc>
        <w:tc>
          <w:tcPr>
            <w:tcW w:w="6196" w:type="dxa"/>
          </w:tcPr>
          <w:p w:rsidR="00262EF8" w:rsidRPr="00C6293E" w:rsidRDefault="009C616F" w:rsidP="00227202">
            <w:pPr>
              <w:pStyle w:val="TableText"/>
              <w:spacing w:before="91" w:line="179" w:lineRule="auto"/>
              <w:ind w:left="102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3"/>
              </w:rPr>
              <w:t>45-165</w:t>
            </w:r>
            <w:r w:rsidRPr="00C6293E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C6293E">
              <w:rPr>
                <w:rFonts w:ascii="Times New Roman" w:hAnsi="Times New Roman" w:cs="Times New Roman"/>
                <w:spacing w:val="3"/>
              </w:rPr>
              <w:t>μm</w:t>
            </w:r>
            <w:proofErr w:type="spellEnd"/>
          </w:p>
        </w:tc>
      </w:tr>
      <w:tr w:rsidR="00262EF8" w:rsidRPr="00C6293E" w:rsidTr="008B77AE">
        <w:trPr>
          <w:trHeight w:val="348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96" w:line="178" w:lineRule="auto"/>
              <w:ind w:left="128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6"/>
              </w:rPr>
              <w:t>配基</w:t>
            </w:r>
            <w:proofErr w:type="spellEnd"/>
          </w:p>
        </w:tc>
        <w:tc>
          <w:tcPr>
            <w:tcW w:w="6196" w:type="dxa"/>
          </w:tcPr>
          <w:p w:rsidR="00262EF8" w:rsidRPr="00C6293E" w:rsidRDefault="00F56886" w:rsidP="00227202">
            <w:pPr>
              <w:pStyle w:val="TableText"/>
              <w:spacing w:before="91" w:line="179" w:lineRule="auto"/>
              <w:ind w:left="102"/>
              <w:rPr>
                <w:rFonts w:ascii="Times New Roman" w:hAnsi="Times New Roman" w:cs="Times New Roman"/>
                <w:lang w:eastAsia="zh-CN"/>
              </w:rPr>
            </w:pPr>
            <w:r w:rsidRPr="00227202">
              <w:rPr>
                <w:rFonts w:ascii="Times New Roman" w:hAnsi="Times New Roman" w:cs="Times New Roman"/>
                <w:spacing w:val="3"/>
              </w:rPr>
              <w:t xml:space="preserve">Anti-GFP </w:t>
            </w:r>
            <w:proofErr w:type="spellStart"/>
            <w:r w:rsidRPr="00227202">
              <w:rPr>
                <w:rFonts w:ascii="Times New Roman" w:hAnsi="Times New Roman" w:cs="Times New Roman"/>
                <w:spacing w:val="3"/>
              </w:rPr>
              <w:t>Nanobody</w:t>
            </w:r>
            <w:proofErr w:type="spellEnd"/>
          </w:p>
        </w:tc>
      </w:tr>
      <w:tr w:rsidR="00262EF8" w:rsidRPr="00C6293E" w:rsidTr="008B77AE">
        <w:trPr>
          <w:trHeight w:val="345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95" w:line="176" w:lineRule="auto"/>
              <w:ind w:left="124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结合能力</w:t>
            </w:r>
            <w:proofErr w:type="spellEnd"/>
          </w:p>
        </w:tc>
        <w:tc>
          <w:tcPr>
            <w:tcW w:w="6196" w:type="dxa"/>
          </w:tcPr>
          <w:p w:rsidR="00262EF8" w:rsidRPr="00C6293E" w:rsidRDefault="00F56886" w:rsidP="00227202">
            <w:pPr>
              <w:pStyle w:val="TableText"/>
              <w:spacing w:before="95" w:line="176" w:lineRule="auto"/>
              <w:ind w:left="122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8"/>
              </w:rPr>
              <w:t>~3</w:t>
            </w:r>
            <w:r w:rsidRPr="00C6293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</w:rPr>
              <w:t>mg</w:t>
            </w:r>
            <w:r w:rsidR="009C616F" w:rsidRPr="00C6293E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="002472C9">
              <w:rPr>
                <w:rFonts w:ascii="Times New Roman" w:hAnsi="Times New Roman" w:cs="Times New Roman" w:hint="eastAsia"/>
                <w:spacing w:val="23"/>
                <w:lang w:eastAsia="zh-CN"/>
              </w:rPr>
              <w:t>e</w:t>
            </w:r>
            <w:r w:rsidRPr="00C6293E">
              <w:rPr>
                <w:rFonts w:ascii="Times New Roman" w:hAnsi="Times New Roman" w:cs="Times New Roman"/>
                <w:spacing w:val="23"/>
                <w:lang w:eastAsia="zh-CN"/>
              </w:rPr>
              <w:t>GFP</w:t>
            </w:r>
            <w:r w:rsidR="009C616F" w:rsidRPr="00C6293E">
              <w:rPr>
                <w:rFonts w:ascii="Times New Roman" w:hAnsi="Times New Roman" w:cs="Times New Roman"/>
                <w:spacing w:val="8"/>
              </w:rPr>
              <w:t>标签蛋白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8"/>
              </w:rPr>
              <w:t>（</w:t>
            </w:r>
            <w:r w:rsidRPr="00C6293E">
              <w:rPr>
                <w:rFonts w:ascii="Times New Roman" w:hAnsi="Times New Roman" w:cs="Times New Roman"/>
                <w:spacing w:val="8"/>
              </w:rPr>
              <w:t>~26</w:t>
            </w:r>
            <w:r w:rsidR="009C616F" w:rsidRPr="00C6293E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kDa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8"/>
              </w:rPr>
              <w:t>）</w:t>
            </w:r>
            <w:r w:rsidR="00227202">
              <w:rPr>
                <w:rFonts w:ascii="Times New Roman" w:hAnsi="Times New Roman" w:cs="Times New Roman"/>
                <w:spacing w:val="8"/>
              </w:rPr>
              <w:t>/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ml</w:t>
            </w:r>
            <w:r w:rsidR="009C616F" w:rsidRPr="00C6293E">
              <w:rPr>
                <w:rFonts w:ascii="Times New Roman" w:hAnsi="Times New Roman" w:cs="Times New Roman"/>
                <w:spacing w:val="8"/>
              </w:rPr>
              <w:t>填料</w:t>
            </w:r>
            <w:proofErr w:type="spellEnd"/>
            <w:r w:rsidR="00227202">
              <w:rPr>
                <w:rFonts w:ascii="Times New Roman" w:hAnsi="Times New Roman" w:cs="Times New Roman" w:hint="eastAsia"/>
                <w:spacing w:val="8"/>
                <w:lang w:eastAsia="zh-CN"/>
              </w:rPr>
              <w:t>颗粒</w:t>
            </w:r>
          </w:p>
        </w:tc>
      </w:tr>
      <w:tr w:rsidR="00262EF8" w:rsidRPr="00C6293E" w:rsidTr="008B77AE">
        <w:trPr>
          <w:trHeight w:val="357"/>
        </w:trPr>
        <w:tc>
          <w:tcPr>
            <w:tcW w:w="2119" w:type="dxa"/>
          </w:tcPr>
          <w:p w:rsidR="00262EF8" w:rsidRPr="00C6293E" w:rsidRDefault="009C616F">
            <w:pPr>
              <w:pStyle w:val="TableText"/>
              <w:spacing w:before="98" w:line="183" w:lineRule="auto"/>
              <w:ind w:left="123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储存条件</w:t>
            </w:r>
            <w:proofErr w:type="spellEnd"/>
          </w:p>
        </w:tc>
        <w:tc>
          <w:tcPr>
            <w:tcW w:w="6196" w:type="dxa"/>
          </w:tcPr>
          <w:p w:rsidR="00262EF8" w:rsidRPr="00C6293E" w:rsidRDefault="009C616F" w:rsidP="00227202">
            <w:pPr>
              <w:pStyle w:val="TableText"/>
              <w:spacing w:before="98" w:line="183" w:lineRule="auto"/>
              <w:ind w:left="112"/>
              <w:rPr>
                <w:rFonts w:ascii="Times New Roman" w:hAnsi="Times New Roman" w:cs="Times New Roman"/>
                <w:lang w:eastAsia="zh-CN"/>
              </w:rPr>
            </w:pP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2~8°C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保存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 w:rsidRPr="00C6293E">
              <w:rPr>
                <w:rFonts w:ascii="Times New Roman" w:hAnsi="Times New Roman" w:cs="Times New Roman"/>
                <w:spacing w:val="5"/>
                <w:lang w:eastAsia="zh-CN"/>
              </w:rPr>
              <w:t>，</w:t>
            </w:r>
            <w:r w:rsidRPr="00C6293E">
              <w:rPr>
                <w:rFonts w:ascii="Times New Roman" w:hAnsi="Times New Roman" w:cs="Times New Roman"/>
                <w:b/>
                <w:bCs/>
                <w:spacing w:val="5"/>
                <w:lang w:eastAsia="zh-CN"/>
              </w:rPr>
              <w:t>避免</w:t>
            </w:r>
            <w:r w:rsidRPr="00C6293E">
              <w:rPr>
                <w:rFonts w:ascii="Times New Roman" w:hAnsi="Times New Roman" w:cs="Times New Roman"/>
                <w:b/>
                <w:bCs/>
                <w:spacing w:val="5"/>
                <w:lang w:eastAsia="zh-CN"/>
              </w:rPr>
              <w:t>0℃</w:t>
            </w:r>
            <w:r w:rsidRPr="00C6293E">
              <w:rPr>
                <w:rFonts w:ascii="Times New Roman" w:hAnsi="Times New Roman" w:cs="Times New Roman"/>
                <w:b/>
                <w:bCs/>
                <w:spacing w:val="5"/>
                <w:lang w:eastAsia="zh-CN"/>
              </w:rPr>
              <w:t>及</w:t>
            </w:r>
            <w:r w:rsidRPr="00C6293E">
              <w:rPr>
                <w:rFonts w:ascii="Times New Roman" w:hAnsi="Times New Roman" w:cs="Times New Roman"/>
                <w:b/>
                <w:bCs/>
                <w:spacing w:val="5"/>
                <w:lang w:eastAsia="zh-CN"/>
              </w:rPr>
              <w:t>0℃</w:t>
            </w:r>
            <w:r w:rsidRPr="00C6293E">
              <w:rPr>
                <w:rFonts w:ascii="Times New Roman" w:hAnsi="Times New Roman" w:cs="Times New Roman"/>
                <w:b/>
                <w:bCs/>
                <w:spacing w:val="5"/>
                <w:lang w:eastAsia="zh-CN"/>
              </w:rPr>
              <w:t>以下冻存</w:t>
            </w:r>
            <w:r w:rsidRPr="00C6293E">
              <w:rPr>
                <w:rFonts w:ascii="Times New Roman" w:hAnsi="Times New Roman" w:cs="Times New Roman"/>
                <w:b/>
                <w:bCs/>
                <w:spacing w:val="4"/>
                <w:lang w:eastAsia="zh-CN"/>
              </w:rPr>
              <w:t>填料</w:t>
            </w:r>
            <w:r w:rsidRPr="00C6293E">
              <w:rPr>
                <w:rFonts w:ascii="Times New Roman" w:hAnsi="Times New Roman" w:cs="Times New Roman"/>
                <w:spacing w:val="4"/>
                <w:lang w:eastAsia="zh-CN"/>
              </w:rPr>
              <w:t>。</w:t>
            </w:r>
          </w:p>
        </w:tc>
      </w:tr>
    </w:tbl>
    <w:p w:rsidR="00262EF8" w:rsidRPr="00C6293E" w:rsidRDefault="009C616F" w:rsidP="00C6293E">
      <w:pPr>
        <w:pStyle w:val="a8"/>
        <w:rPr>
          <w:rFonts w:ascii="Times New Roman" w:hAnsi="Times New Roman" w:cs="Times New Roman"/>
        </w:rPr>
      </w:pPr>
      <w:bookmarkStart w:id="6" w:name="bookmark2"/>
      <w:bookmarkStart w:id="7" w:name="_Toc154493428"/>
      <w:bookmarkEnd w:id="6"/>
      <w:r w:rsidRPr="00C6293E">
        <w:rPr>
          <w:rFonts w:ascii="Times New Roman" w:hAnsi="Times New Roman" w:cs="Times New Roman"/>
        </w:rPr>
        <w:t xml:space="preserve">2.   </w:t>
      </w:r>
      <w:r w:rsidRPr="00C6293E">
        <w:rPr>
          <w:rFonts w:ascii="Times New Roman" w:hAnsi="Times New Roman" w:cs="Times New Roman"/>
        </w:rPr>
        <w:t>使用说明</w:t>
      </w:r>
      <w:bookmarkEnd w:id="7"/>
    </w:p>
    <w:p w:rsidR="00262EF8" w:rsidRPr="00C6293E" w:rsidRDefault="009C616F" w:rsidP="002C1AA4">
      <w:pPr>
        <w:pStyle w:val="a0"/>
        <w:spacing w:before="181" w:line="227" w:lineRule="auto"/>
        <w:ind w:left="17" w:right="15" w:firstLineChars="200" w:firstLine="392"/>
        <w:rPr>
          <w:rFonts w:ascii="Times New Roman" w:hAnsi="Times New Roman" w:cs="Times New Roman"/>
          <w:sz w:val="19"/>
          <w:szCs w:val="19"/>
          <w:lang w:eastAsia="zh-CN"/>
        </w:rPr>
      </w:pP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考虑到样本的复杂性和实验条件的多样性，以下实验指导说明仅供参考，操作过程中可根据实际情况进行调整，以获得更优的实验结果</w:t>
      </w:r>
      <w:r w:rsidRPr="00C6293E">
        <w:rPr>
          <w:rFonts w:ascii="Times New Roman" w:hAnsi="Times New Roman" w:cs="Times New Roman"/>
          <w:spacing w:val="4"/>
          <w:sz w:val="19"/>
          <w:szCs w:val="19"/>
          <w:lang w:eastAsia="zh-CN"/>
        </w:rPr>
        <w:t>。</w:t>
      </w:r>
    </w:p>
    <w:p w:rsidR="00262EF8" w:rsidRPr="00C6293E" w:rsidRDefault="00703DA7" w:rsidP="00C6293E">
      <w:pP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bookmarkStart w:id="8" w:name="bookmark3"/>
      <w:bookmarkEnd w:id="8"/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2.1 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设备及试剂准备（本产品不提供）</w:t>
      </w:r>
    </w:p>
    <w:p w:rsidR="00262EF8" w:rsidRPr="002C1AA4" w:rsidRDefault="009C616F" w:rsidP="002C1AA4">
      <w:pPr>
        <w:pStyle w:val="a0"/>
        <w:spacing w:before="92" w:line="231" w:lineRule="auto"/>
        <w:ind w:right="60" w:firstLineChars="200" w:firstLine="392"/>
        <w:rPr>
          <w:rFonts w:ascii="Times New Roman" w:hAnsi="Times New Roman" w:cs="Times New Roman"/>
          <w:spacing w:val="6"/>
          <w:sz w:val="19"/>
          <w:szCs w:val="19"/>
          <w:lang w:eastAsia="zh-CN"/>
        </w:rPr>
      </w:pPr>
      <w:proofErr w:type="gramStart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微量移液器</w:t>
      </w:r>
      <w:proofErr w:type="gramEnd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，离心管，离心机，</w:t>
      </w:r>
      <w:r w:rsidR="0026248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孵育旋转仪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，空层析柱，蛋白酶抑制剂，缓冲溶液（见表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2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）。</w:t>
      </w:r>
    </w:p>
    <w:p w:rsidR="00262EF8" w:rsidRPr="00C6293E" w:rsidRDefault="009C616F">
      <w:pPr>
        <w:pStyle w:val="a0"/>
        <w:spacing w:before="148" w:line="160" w:lineRule="auto"/>
        <w:ind w:left="2910"/>
        <w:rPr>
          <w:rFonts w:ascii="Times New Roman" w:hAnsi="Times New Roman" w:cs="Times New Roman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>表</w:t>
      </w: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 xml:space="preserve"> 2.</w:t>
      </w:r>
      <w:r w:rsidRPr="00C6293E">
        <w:rPr>
          <w:rFonts w:ascii="Times New Roman" w:hAnsi="Times New Roman" w:cs="Times New Roman"/>
          <w:spacing w:val="53"/>
          <w:w w:val="101"/>
          <w:sz w:val="19"/>
          <w:szCs w:val="19"/>
          <w:lang w:eastAsia="zh-CN"/>
        </w:rPr>
        <w:t xml:space="preserve"> </w:t>
      </w:r>
      <w:r w:rsidR="00671DF6" w:rsidRPr="00671DF6">
        <w:rPr>
          <w:rFonts w:ascii="Times New Roman" w:hAnsi="Times New Roman" w:cs="Times New Roman"/>
          <w:spacing w:val="6"/>
          <w:sz w:val="19"/>
          <w:szCs w:val="19"/>
          <w:lang w:eastAsia="zh-CN"/>
        </w:rPr>
        <w:t>重力</w:t>
      </w:r>
      <w:r w:rsidRPr="00671DF6">
        <w:rPr>
          <w:rFonts w:ascii="Times New Roman" w:hAnsi="Times New Roman" w:cs="Times New Roman"/>
          <w:spacing w:val="6"/>
          <w:sz w:val="19"/>
          <w:szCs w:val="19"/>
          <w:lang w:eastAsia="zh-CN"/>
        </w:rPr>
        <w:t>柱层析法所</w:t>
      </w: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>需缓冲溶液</w:t>
      </w:r>
    </w:p>
    <w:tbl>
      <w:tblPr>
        <w:tblStyle w:val="TableNormal"/>
        <w:tblW w:w="830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843"/>
        <w:gridCol w:w="5171"/>
      </w:tblGrid>
      <w:tr w:rsidR="00262EF8" w:rsidRPr="00C6293E" w:rsidTr="008B77AE">
        <w:trPr>
          <w:trHeight w:val="569"/>
        </w:trPr>
        <w:tc>
          <w:tcPr>
            <w:tcW w:w="1291" w:type="dxa"/>
          </w:tcPr>
          <w:p w:rsidR="00262EF8" w:rsidRPr="00C6293E" w:rsidRDefault="009C616F">
            <w:pPr>
              <w:pStyle w:val="TableText"/>
              <w:spacing w:before="207" w:line="201" w:lineRule="auto"/>
              <w:ind w:left="254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b/>
                <w:bCs/>
                <w:spacing w:val="8"/>
              </w:rPr>
              <w:t>溶液用途</w:t>
            </w:r>
            <w:proofErr w:type="spellEnd"/>
          </w:p>
        </w:tc>
        <w:tc>
          <w:tcPr>
            <w:tcW w:w="1843" w:type="dxa"/>
          </w:tcPr>
          <w:p w:rsidR="00262EF8" w:rsidRPr="00C6293E" w:rsidRDefault="009C616F">
            <w:pPr>
              <w:pStyle w:val="TableText"/>
              <w:spacing w:before="206" w:line="201" w:lineRule="auto"/>
              <w:ind w:left="522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b/>
                <w:bCs/>
                <w:spacing w:val="8"/>
              </w:rPr>
              <w:t>试剂简称</w:t>
            </w:r>
            <w:proofErr w:type="spellEnd"/>
          </w:p>
        </w:tc>
        <w:tc>
          <w:tcPr>
            <w:tcW w:w="5171" w:type="dxa"/>
          </w:tcPr>
          <w:p w:rsidR="00262EF8" w:rsidRPr="00C6293E" w:rsidRDefault="009C616F">
            <w:pPr>
              <w:pStyle w:val="TableText"/>
              <w:spacing w:before="207" w:line="201" w:lineRule="auto"/>
              <w:ind w:left="2187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b/>
                <w:bCs/>
                <w:spacing w:val="8"/>
              </w:rPr>
              <w:t>推荐配方</w:t>
            </w:r>
            <w:proofErr w:type="spellEnd"/>
          </w:p>
        </w:tc>
      </w:tr>
      <w:tr w:rsidR="00262EF8" w:rsidRPr="00C6293E" w:rsidTr="008B77AE">
        <w:trPr>
          <w:trHeight w:val="354"/>
        </w:trPr>
        <w:tc>
          <w:tcPr>
            <w:tcW w:w="1291" w:type="dxa"/>
            <w:vMerge w:val="restart"/>
          </w:tcPr>
          <w:p w:rsidR="00262EF8" w:rsidRPr="00C6293E" w:rsidRDefault="00262EF8">
            <w:pPr>
              <w:spacing w:line="298" w:lineRule="auto"/>
              <w:rPr>
                <w:rFonts w:ascii="Times New Roman" w:hAnsi="Times New Roman" w:cs="Times New Roman"/>
              </w:rPr>
            </w:pPr>
          </w:p>
          <w:p w:rsidR="00262EF8" w:rsidRPr="00C6293E" w:rsidRDefault="009C616F">
            <w:pPr>
              <w:pStyle w:val="TableText"/>
              <w:spacing w:before="82" w:line="201" w:lineRule="auto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9"/>
              </w:rPr>
              <w:t>裂解缓冲液</w:t>
            </w:r>
            <w:proofErr w:type="spellEnd"/>
          </w:p>
        </w:tc>
        <w:tc>
          <w:tcPr>
            <w:tcW w:w="1843" w:type="dxa"/>
          </w:tcPr>
          <w:p w:rsidR="00262EF8" w:rsidRPr="00C6293E" w:rsidRDefault="00D07FDF" w:rsidP="00262480">
            <w:pPr>
              <w:pStyle w:val="TableText"/>
              <w:spacing w:before="107" w:line="174" w:lineRule="auto"/>
              <w:ind w:firstLineChars="300" w:firstLine="582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4"/>
              </w:rPr>
              <w:t>HEPES</w:t>
            </w:r>
          </w:p>
        </w:tc>
        <w:tc>
          <w:tcPr>
            <w:tcW w:w="5171" w:type="dxa"/>
          </w:tcPr>
          <w:p w:rsidR="00262EF8" w:rsidRPr="00C6293E" w:rsidRDefault="00D07FDF">
            <w:pPr>
              <w:pStyle w:val="TableText"/>
              <w:spacing w:before="98" w:line="181" w:lineRule="auto"/>
              <w:ind w:left="123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1"/>
              </w:rPr>
              <w:t>2</w:t>
            </w:r>
            <w:r w:rsidR="009C616F" w:rsidRPr="00C6293E">
              <w:rPr>
                <w:rFonts w:ascii="Times New Roman" w:hAnsi="Times New Roman" w:cs="Times New Roman"/>
                <w:spacing w:val="1"/>
              </w:rPr>
              <w:t>0</w:t>
            </w:r>
            <w:r w:rsidR="009C616F" w:rsidRPr="00C6293E">
              <w:rPr>
                <w:rFonts w:ascii="Times New Roman" w:hAnsi="Times New Roman" w:cs="Times New Roman"/>
                <w:spacing w:val="26"/>
                <w:w w:val="10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293E">
              <w:rPr>
                <w:rFonts w:ascii="Times New Roman" w:hAnsi="Times New Roman" w:cs="Times New Roman"/>
                <w:spacing w:val="4"/>
              </w:rPr>
              <w:t>HEPES</w:t>
            </w:r>
            <w:r w:rsidR="009C616F" w:rsidRPr="00C6293E">
              <w:rPr>
                <w:rFonts w:ascii="Times New Roman" w:hAnsi="Times New Roman" w:cs="Times New Roman"/>
                <w:spacing w:val="1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  <w:spacing w:val="1"/>
              </w:rPr>
              <w:t>150</w:t>
            </w:r>
            <w:r w:rsidR="009C616F" w:rsidRPr="00C6293E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3"/>
                <w:w w:val="10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NaCl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1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</w:rPr>
              <w:t>pH</w:t>
            </w:r>
            <w:r w:rsidRPr="00C6293E">
              <w:rPr>
                <w:rFonts w:ascii="Times New Roman" w:hAnsi="Times New Roman" w:cs="Times New Roman"/>
                <w:spacing w:val="1"/>
              </w:rPr>
              <w:t xml:space="preserve"> 7.5</w:t>
            </w:r>
          </w:p>
        </w:tc>
      </w:tr>
      <w:tr w:rsidR="00262EF8" w:rsidRPr="00C6293E" w:rsidTr="008B77AE">
        <w:trPr>
          <w:trHeight w:val="562"/>
        </w:trPr>
        <w:tc>
          <w:tcPr>
            <w:tcW w:w="1291" w:type="dxa"/>
            <w:vMerge/>
          </w:tcPr>
          <w:p w:rsidR="00262EF8" w:rsidRPr="00C6293E" w:rsidRDefault="0026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2EF8" w:rsidRPr="00C6293E" w:rsidRDefault="009C616F">
            <w:pPr>
              <w:pStyle w:val="TableText"/>
              <w:spacing w:before="66" w:line="203" w:lineRule="auto"/>
              <w:ind w:left="442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4"/>
              </w:rPr>
              <w:t>自制或购买</w:t>
            </w:r>
            <w:proofErr w:type="spellEnd"/>
          </w:p>
          <w:p w:rsidR="00262EF8" w:rsidRPr="00C6293E" w:rsidRDefault="009C616F">
            <w:pPr>
              <w:pStyle w:val="TableText"/>
              <w:spacing w:line="209" w:lineRule="exact"/>
              <w:ind w:left="622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裂解液</w:t>
            </w:r>
            <w:proofErr w:type="spellEnd"/>
          </w:p>
        </w:tc>
        <w:tc>
          <w:tcPr>
            <w:tcW w:w="5171" w:type="dxa"/>
          </w:tcPr>
          <w:p w:rsidR="00262EF8" w:rsidRPr="00C6293E" w:rsidRDefault="009C616F">
            <w:pPr>
              <w:pStyle w:val="TableText"/>
              <w:spacing w:before="205" w:line="203" w:lineRule="auto"/>
              <w:ind w:left="125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</w:rPr>
              <w:t>N/A</w:t>
            </w:r>
          </w:p>
        </w:tc>
      </w:tr>
      <w:tr w:rsidR="00262EF8" w:rsidRPr="00C6293E" w:rsidTr="008B77AE">
        <w:trPr>
          <w:trHeight w:val="284"/>
        </w:trPr>
        <w:tc>
          <w:tcPr>
            <w:tcW w:w="1291" w:type="dxa"/>
          </w:tcPr>
          <w:p w:rsidR="00262EF8" w:rsidRPr="00C6293E" w:rsidRDefault="009C616F">
            <w:pPr>
              <w:pStyle w:val="TableText"/>
              <w:spacing w:before="68" w:line="205" w:lineRule="exact"/>
              <w:ind w:left="257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7"/>
              </w:rPr>
              <w:t>平衡溶液</w:t>
            </w:r>
            <w:proofErr w:type="spellEnd"/>
          </w:p>
        </w:tc>
        <w:tc>
          <w:tcPr>
            <w:tcW w:w="1843" w:type="dxa"/>
            <w:vMerge w:val="restart"/>
          </w:tcPr>
          <w:p w:rsidR="00262EF8" w:rsidRPr="00C6293E" w:rsidRDefault="00D07FDF" w:rsidP="00262480">
            <w:pPr>
              <w:pStyle w:val="TableText"/>
              <w:spacing w:before="223" w:line="177" w:lineRule="auto"/>
              <w:ind w:firstLineChars="300" w:firstLine="570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</w:rPr>
              <w:t>HEPES</w:t>
            </w:r>
          </w:p>
        </w:tc>
        <w:tc>
          <w:tcPr>
            <w:tcW w:w="5171" w:type="dxa"/>
            <w:vMerge w:val="restart"/>
          </w:tcPr>
          <w:p w:rsidR="00262EF8" w:rsidRPr="00C6293E" w:rsidRDefault="00262480">
            <w:pPr>
              <w:pStyle w:val="TableText"/>
              <w:spacing w:before="214" w:line="186" w:lineRule="auto"/>
              <w:ind w:left="123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1"/>
              </w:rPr>
              <w:t>20</w:t>
            </w:r>
            <w:r w:rsidR="009C616F" w:rsidRPr="00C6293E">
              <w:rPr>
                <w:rFonts w:ascii="Times New Roman" w:hAnsi="Times New Roman" w:cs="Times New Roman"/>
                <w:spacing w:val="26"/>
                <w:w w:val="10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07FDF" w:rsidRPr="00C6293E">
              <w:rPr>
                <w:rFonts w:ascii="Times New Roman" w:hAnsi="Times New Roman" w:cs="Times New Roman"/>
                <w:spacing w:val="4"/>
              </w:rPr>
              <w:t>HEPES</w:t>
            </w:r>
            <w:r w:rsidR="009C616F" w:rsidRPr="00C6293E">
              <w:rPr>
                <w:rFonts w:ascii="Times New Roman" w:hAnsi="Times New Roman" w:cs="Times New Roman"/>
                <w:spacing w:val="1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  <w:spacing w:val="1"/>
              </w:rPr>
              <w:t>150</w:t>
            </w:r>
            <w:r w:rsidR="009C616F" w:rsidRPr="00C6293E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3"/>
                <w:w w:val="10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NaCl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1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</w:rPr>
              <w:t>pH</w:t>
            </w:r>
            <w:r w:rsidR="00D07FDF" w:rsidRPr="00C6293E">
              <w:rPr>
                <w:rFonts w:ascii="Times New Roman" w:hAnsi="Times New Roman" w:cs="Times New Roman"/>
                <w:spacing w:val="1"/>
              </w:rPr>
              <w:t xml:space="preserve"> 7.5</w:t>
            </w:r>
          </w:p>
        </w:tc>
      </w:tr>
      <w:tr w:rsidR="00262EF8" w:rsidRPr="00C6293E" w:rsidTr="008B77AE">
        <w:trPr>
          <w:trHeight w:val="284"/>
        </w:trPr>
        <w:tc>
          <w:tcPr>
            <w:tcW w:w="1291" w:type="dxa"/>
          </w:tcPr>
          <w:p w:rsidR="00262EF8" w:rsidRPr="00C6293E" w:rsidRDefault="009C616F">
            <w:pPr>
              <w:pStyle w:val="TableText"/>
              <w:spacing w:before="69" w:line="204" w:lineRule="exact"/>
              <w:ind w:left="254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洗涤溶液</w:t>
            </w:r>
            <w:proofErr w:type="spellEnd"/>
          </w:p>
        </w:tc>
        <w:tc>
          <w:tcPr>
            <w:tcW w:w="1843" w:type="dxa"/>
            <w:vMerge/>
          </w:tcPr>
          <w:p w:rsidR="00262EF8" w:rsidRPr="00C6293E" w:rsidRDefault="0026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1" w:type="dxa"/>
            <w:vMerge/>
          </w:tcPr>
          <w:p w:rsidR="00262EF8" w:rsidRPr="00C6293E" w:rsidRDefault="00262EF8">
            <w:pPr>
              <w:rPr>
                <w:rFonts w:ascii="Times New Roman" w:hAnsi="Times New Roman" w:cs="Times New Roman"/>
              </w:rPr>
            </w:pPr>
          </w:p>
        </w:tc>
      </w:tr>
      <w:tr w:rsidR="00262EF8" w:rsidRPr="00C6293E" w:rsidTr="008B77AE">
        <w:trPr>
          <w:trHeight w:val="620"/>
        </w:trPr>
        <w:tc>
          <w:tcPr>
            <w:tcW w:w="1291" w:type="dxa"/>
          </w:tcPr>
          <w:p w:rsidR="00262EF8" w:rsidRPr="00C6293E" w:rsidRDefault="009C616F">
            <w:pPr>
              <w:pStyle w:val="TableText"/>
              <w:spacing w:before="238" w:line="201" w:lineRule="auto"/>
              <w:ind w:left="254"/>
              <w:rPr>
                <w:rFonts w:ascii="Times New Roman" w:hAnsi="Times New Roman" w:cs="Times New Roman"/>
              </w:rPr>
            </w:pPr>
            <w:proofErr w:type="spellStart"/>
            <w:r w:rsidRPr="00C6293E">
              <w:rPr>
                <w:rFonts w:ascii="Times New Roman" w:hAnsi="Times New Roman" w:cs="Times New Roman"/>
                <w:spacing w:val="8"/>
              </w:rPr>
              <w:t>保存溶液</w:t>
            </w:r>
            <w:proofErr w:type="spellEnd"/>
          </w:p>
        </w:tc>
        <w:tc>
          <w:tcPr>
            <w:tcW w:w="1843" w:type="dxa"/>
          </w:tcPr>
          <w:p w:rsidR="00262EF8" w:rsidRPr="00C6293E" w:rsidRDefault="00B66BE5">
            <w:pPr>
              <w:pStyle w:val="TableText"/>
              <w:spacing w:before="247" w:line="177" w:lineRule="auto"/>
              <w:ind w:left="684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4"/>
                <w:lang w:eastAsia="zh-CN"/>
              </w:rPr>
              <w:t>PBS</w:t>
            </w:r>
          </w:p>
        </w:tc>
        <w:tc>
          <w:tcPr>
            <w:tcW w:w="5171" w:type="dxa"/>
          </w:tcPr>
          <w:p w:rsidR="00262EF8" w:rsidRPr="00C6293E" w:rsidRDefault="00B66BE5">
            <w:pPr>
              <w:pStyle w:val="TableText"/>
              <w:spacing w:before="96" w:line="189" w:lineRule="auto"/>
              <w:ind w:left="125" w:right="720" w:hanging="2"/>
              <w:rPr>
                <w:rFonts w:ascii="Times New Roman" w:hAnsi="Times New Roman" w:cs="Times New Roman"/>
              </w:rPr>
            </w:pPr>
            <w:r w:rsidRPr="00C6293E">
              <w:rPr>
                <w:rFonts w:ascii="Times New Roman" w:hAnsi="Times New Roman" w:cs="Times New Roman"/>
                <w:spacing w:val="2"/>
              </w:rPr>
              <w:t>1</w:t>
            </w:r>
            <w:r w:rsidR="009C616F" w:rsidRPr="00C6293E">
              <w:rPr>
                <w:rFonts w:ascii="Times New Roman" w:hAnsi="Times New Roman" w:cs="Times New Roman"/>
                <w:spacing w:val="2"/>
              </w:rPr>
              <w:t>0</w:t>
            </w:r>
            <w:r w:rsidR="009C616F" w:rsidRPr="00C6293E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6293E">
              <w:rPr>
                <w:rFonts w:ascii="Times New Roman" w:hAnsi="Times New Roman" w:cs="Times New Roman"/>
                <w:lang w:eastAsia="zh-CN"/>
              </w:rPr>
              <w:t>NaPhosphate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6293E">
              <w:rPr>
                <w:rFonts w:ascii="Times New Roman" w:hAnsi="Times New Roman" w:cs="Times New Roman"/>
                <w:spacing w:val="2"/>
              </w:rPr>
              <w:t>20</w:t>
            </w:r>
            <w:r w:rsidR="009C616F" w:rsidRPr="00C6293E">
              <w:rPr>
                <w:rFonts w:ascii="Times New Roman" w:hAnsi="Times New Roman" w:cs="Times New Roman"/>
                <w:spacing w:val="2"/>
              </w:rPr>
              <w:t>0</w:t>
            </w:r>
            <w:r w:rsidR="009C616F" w:rsidRPr="00C6293E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mM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="009C616F" w:rsidRPr="00C6293E">
              <w:rPr>
                <w:rFonts w:ascii="Times New Roman" w:hAnsi="Times New Roman" w:cs="Times New Roman"/>
              </w:rPr>
              <w:t>NaCl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2"/>
              </w:rPr>
              <w:t>,</w:t>
            </w:r>
            <w:r w:rsidR="009C616F" w:rsidRPr="00C6293E">
              <w:rPr>
                <w:rFonts w:ascii="Times New Roman" w:hAnsi="Times New Roman" w:cs="Times New Roman"/>
                <w:spacing w:val="20"/>
                <w:w w:val="101"/>
              </w:rPr>
              <w:t xml:space="preserve"> </w:t>
            </w:r>
            <w:r w:rsidR="009C616F" w:rsidRPr="00C6293E">
              <w:rPr>
                <w:rFonts w:ascii="Times New Roman" w:hAnsi="Times New Roman" w:cs="Times New Roman"/>
              </w:rPr>
              <w:t>pH</w:t>
            </w:r>
            <w:r w:rsidRPr="00C6293E">
              <w:rPr>
                <w:rFonts w:ascii="Times New Roman" w:hAnsi="Times New Roman" w:cs="Times New Roman"/>
                <w:spacing w:val="2"/>
              </w:rPr>
              <w:t xml:space="preserve"> 7.0, 0.1</w:t>
            </w:r>
            <w:r w:rsidR="009C616F" w:rsidRPr="00C6293E">
              <w:rPr>
                <w:rFonts w:ascii="Times New Roman" w:hAnsi="Times New Roman" w:cs="Times New Roman"/>
                <w:spacing w:val="2"/>
              </w:rPr>
              <w:t>%</w:t>
            </w:r>
            <w:r w:rsidRPr="00C62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93E">
              <w:rPr>
                <w:rFonts w:ascii="Times New Roman" w:hAnsi="Times New Roman" w:cs="Times New Roman"/>
              </w:rPr>
              <w:t>ProC</w:t>
            </w:r>
            <w:r w:rsidRPr="00C6293E">
              <w:rPr>
                <w:rFonts w:ascii="Times New Roman" w:hAnsi="Times New Roman" w:cs="Times New Roman"/>
                <w:lang w:eastAsia="zh-CN"/>
              </w:rPr>
              <w:t>lean</w:t>
            </w:r>
            <w:proofErr w:type="spellEnd"/>
            <w:r w:rsidR="009C616F" w:rsidRPr="00C6293E">
              <w:rPr>
                <w:rFonts w:ascii="Times New Roman" w:hAnsi="Times New Roman" w:cs="Times New Roman"/>
                <w:spacing w:val="18"/>
                <w:w w:val="101"/>
              </w:rPr>
              <w:t xml:space="preserve"> </w:t>
            </w:r>
            <w:r w:rsidRPr="00C6293E">
              <w:rPr>
                <w:rFonts w:ascii="Times New Roman" w:hAnsi="Times New Roman" w:cs="Times New Roman"/>
                <w:spacing w:val="5"/>
              </w:rPr>
              <w:t>950</w:t>
            </w:r>
          </w:p>
        </w:tc>
      </w:tr>
    </w:tbl>
    <w:p w:rsidR="00262EF8" w:rsidRPr="00C6293E" w:rsidRDefault="00262EF8">
      <w:pPr>
        <w:rPr>
          <w:rFonts w:ascii="Times New Roman" w:hAnsi="Times New Roman" w:cs="Times New Roman"/>
        </w:rPr>
        <w:sectPr w:rsidR="00262EF8" w:rsidRPr="00C6293E" w:rsidSect="00E67920">
          <w:footerReference w:type="default" r:id="rId9"/>
          <w:pgSz w:w="11900" w:h="16841"/>
          <w:pgMar w:top="1334" w:right="1784" w:bottom="1270" w:left="1784" w:header="645" w:footer="440" w:gutter="0"/>
          <w:pgNumType w:start="1"/>
          <w:cols w:space="720"/>
        </w:sectPr>
      </w:pPr>
    </w:p>
    <w:p w:rsidR="00CC463E" w:rsidRDefault="00CC463E" w:rsidP="00CC463E">
      <w:pPr>
        <w:pStyle w:val="a0"/>
        <w:spacing w:before="92" w:line="201" w:lineRule="auto"/>
        <w:rPr>
          <w:rFonts w:ascii="Times New Roman" w:hAnsi="Times New Roman" w:cs="Times New Roman"/>
          <w:spacing w:val="4"/>
          <w:sz w:val="19"/>
          <w:szCs w:val="19"/>
          <w:lang w:eastAsia="zh-CN"/>
        </w:rPr>
      </w:pPr>
    </w:p>
    <w:p w:rsidR="00262EF8" w:rsidRPr="00C6293E" w:rsidRDefault="00703DA7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2.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2 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样品前处理</w:t>
      </w:r>
    </w:p>
    <w:p w:rsidR="00262EF8" w:rsidRPr="00C6293E" w:rsidRDefault="00703DA7" w:rsidP="00C6293E">
      <w:pPr>
        <w:pStyle w:val="a0"/>
        <w:spacing w:before="87" w:line="233" w:lineRule="auto"/>
        <w:ind w:left="18" w:right="209" w:firstLineChars="200" w:firstLine="392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 w:rsidRPr="00703DA7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根据</w:t>
      </w:r>
      <w:r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样品性质，进行处理，得到上清液。</w:t>
      </w:r>
    </w:p>
    <w:p w:rsidR="002C4C5A" w:rsidRDefault="00703DA7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2.3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 </w:t>
      </w:r>
      <w:r w:rsidR="002C4C5A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孵育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上样</w:t>
      </w:r>
      <w:r w:rsidR="00BF6BD1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 </w:t>
      </w:r>
    </w:p>
    <w:p w:rsidR="00703DA7" w:rsidRPr="00703DA7" w:rsidRDefault="00703DA7" w:rsidP="00703DA7">
      <w:pPr>
        <w:pStyle w:val="a0"/>
        <w:spacing w:before="87" w:line="233" w:lineRule="auto"/>
        <w:ind w:left="18" w:right="209" w:firstLineChars="200" w:firstLine="392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将上清液与平衡好的填料进行孵育或用预装柱流穿。</w:t>
      </w:r>
    </w:p>
    <w:p w:rsidR="00262EF8" w:rsidRPr="00C6293E" w:rsidRDefault="009C616F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</w:rPr>
      </w:pPr>
      <w:r w:rsidRPr="00C6293E">
        <w:rPr>
          <w:rFonts w:ascii="Times New Roman" w:eastAsia="微软雅黑" w:hAnsi="Times New Roman" w:cs="Times New Roman"/>
          <w:b/>
          <w:sz w:val="19"/>
          <w:szCs w:val="19"/>
        </w:rPr>
        <w:t>2</w:t>
      </w:r>
      <w:r w:rsidR="00703DA7">
        <w:rPr>
          <w:rFonts w:ascii="Times New Roman" w:eastAsia="微软雅黑" w:hAnsi="Times New Roman" w:cs="Times New Roman"/>
          <w:b/>
          <w:sz w:val="19"/>
          <w:szCs w:val="19"/>
        </w:rPr>
        <w:t>.4</w:t>
      </w:r>
      <w:r w:rsidRPr="00C6293E">
        <w:rPr>
          <w:rFonts w:ascii="Times New Roman" w:eastAsia="微软雅黑" w:hAnsi="Times New Roman" w:cs="Times New Roman"/>
          <w:b/>
          <w:sz w:val="19"/>
          <w:szCs w:val="19"/>
        </w:rPr>
        <w:t xml:space="preserve"> </w:t>
      </w:r>
      <w:proofErr w:type="spellStart"/>
      <w:r w:rsidRPr="00C6293E">
        <w:rPr>
          <w:rFonts w:ascii="Times New Roman" w:eastAsia="微软雅黑" w:hAnsi="Times New Roman" w:cs="Times New Roman"/>
          <w:b/>
          <w:sz w:val="19"/>
          <w:szCs w:val="19"/>
        </w:rPr>
        <w:t>洗杂</w:t>
      </w:r>
      <w:proofErr w:type="spellEnd"/>
    </w:p>
    <w:p w:rsidR="00262EF8" w:rsidRPr="00C6293E" w:rsidRDefault="009C616F" w:rsidP="00C6293E">
      <w:pPr>
        <w:pStyle w:val="a0"/>
        <w:spacing w:before="86" w:line="233" w:lineRule="auto"/>
        <w:ind w:left="25" w:right="106" w:firstLineChars="200" w:firstLine="392"/>
        <w:jc w:val="both"/>
        <w:rPr>
          <w:rFonts w:ascii="Times New Roman" w:hAnsi="Times New Roman" w:cs="Times New Roman"/>
          <w:sz w:val="19"/>
          <w:szCs w:val="19"/>
          <w:lang w:eastAsia="zh-CN"/>
        </w:rPr>
      </w:pP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在收集完流穿液的层析柱中，添加</w:t>
      </w:r>
      <w:r w:rsidR="00505C2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25</w:t>
      </w:r>
      <w:r w:rsidR="008B396F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CV</w:t>
      </w:r>
      <w:r w:rsidR="00505C2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的</w:t>
      </w:r>
      <w:r w:rsidR="00505C2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</w:t>
      </w:r>
      <w:r w:rsidR="00DB617E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HEPES </w:t>
      </w:r>
      <w:r w:rsidR="002C1AA4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洗涤</w:t>
      </w:r>
      <w:r w:rsidR="00DB617E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buffer</w:t>
      </w:r>
      <w:r w:rsidR="00505C2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 xml:space="preserve"> </w:t>
      </w:r>
      <w:r w:rsidR="00505C20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冲洗填料。注意保持填料的湿润</w:t>
      </w:r>
      <w:r w:rsidR="002C1AA4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。</w:t>
      </w:r>
    </w:p>
    <w:p w:rsidR="004057BD" w:rsidRPr="00C6293E" w:rsidRDefault="00703DA7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2.5</w:t>
      </w:r>
      <w:r w:rsidR="009C616F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 </w:t>
      </w:r>
      <w:r w:rsidR="00505C20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柱切</w:t>
      </w:r>
    </w:p>
    <w:p w:rsidR="00262EF8" w:rsidRPr="00C6293E" w:rsidRDefault="00703DA7" w:rsidP="002C1AA4">
      <w:pPr>
        <w:pStyle w:val="a0"/>
        <w:spacing w:before="86" w:line="233" w:lineRule="auto"/>
        <w:ind w:left="25" w:right="106" w:firstLineChars="200" w:firstLine="392"/>
        <w:jc w:val="both"/>
        <w:rPr>
          <w:rFonts w:ascii="Times New Roman" w:hAnsi="Times New Roman" w:cs="Times New Roman"/>
          <w:spacing w:val="6"/>
          <w:sz w:val="19"/>
          <w:szCs w:val="19"/>
          <w:lang w:eastAsia="zh-CN"/>
        </w:rPr>
      </w:pPr>
      <w:proofErr w:type="gramStart"/>
      <w:r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洗杂结束</w:t>
      </w:r>
      <w:proofErr w:type="gramEnd"/>
      <w:r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后，</w:t>
      </w:r>
      <w:r w:rsidR="00DB617E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根据融合蛋白的酶切位点，在离心管中加入相应的酶</w:t>
      </w:r>
      <w:r w:rsidR="002C1AA4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进行柱切</w:t>
      </w:r>
      <w:r w:rsidR="00DB617E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，</w:t>
      </w:r>
      <w:r w:rsidR="002C4C5A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将离心管置于</w:t>
      </w:r>
      <w:r w:rsidR="004057BD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孵育旋转仪上</w:t>
      </w:r>
      <w:r w:rsidR="002C4C5A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，</w:t>
      </w:r>
      <w:r w:rsidR="004057BD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4℃</w:t>
      </w:r>
      <w:r w:rsidR="004057BD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过夜</w:t>
      </w:r>
      <w:r w:rsidR="002C4C5A"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旋转</w:t>
      </w:r>
      <w:r w:rsidR="00661D26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酶切</w:t>
      </w:r>
      <w:r w:rsidR="009C616F"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。</w:t>
      </w:r>
      <w:r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或在预装柱中循环酶切。</w:t>
      </w:r>
    </w:p>
    <w:p w:rsidR="00745DEC" w:rsidRPr="00C6293E" w:rsidRDefault="00703DA7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2.6</w:t>
      </w:r>
      <w:r w:rsidR="00745DEC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 </w:t>
      </w:r>
      <w:r w:rsidR="00A96B6A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流穿</w:t>
      </w:r>
    </w:p>
    <w:p w:rsidR="00745DEC" w:rsidRPr="002C1AA4" w:rsidRDefault="00745DEC" w:rsidP="002C1AA4">
      <w:pPr>
        <w:pStyle w:val="a0"/>
        <w:spacing w:before="86" w:line="233" w:lineRule="auto"/>
        <w:ind w:left="25" w:right="106" w:firstLineChars="200" w:firstLine="392"/>
        <w:jc w:val="both"/>
        <w:rPr>
          <w:rFonts w:ascii="Times New Roman" w:hAnsi="Times New Roman" w:cs="Times New Roman"/>
          <w:spacing w:val="6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孵育结束后，收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集</w:t>
      </w:r>
      <w:proofErr w:type="gramStart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流穿液至干净</w:t>
      </w:r>
      <w:proofErr w:type="gramEnd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的离心管中，待流穿结束后继续加入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3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倍柱体积的洗涤</w:t>
      </w:r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buffer</w:t>
      </w:r>
      <w:r w:rsidR="00703DA7">
        <w:rPr>
          <w:rFonts w:ascii="Times New Roman" w:hAnsi="Times New Roman" w:cs="Times New Roman"/>
          <w:spacing w:val="6"/>
          <w:sz w:val="19"/>
          <w:szCs w:val="19"/>
          <w:lang w:eastAsia="zh-CN"/>
        </w:rPr>
        <w:t>继续收集至离心管中</w:t>
      </w:r>
      <w:r w:rsidR="002C1AA4">
        <w:rPr>
          <w:rFonts w:ascii="Times New Roman" w:hAnsi="Times New Roman" w:cs="Times New Roman" w:hint="eastAsia"/>
          <w:spacing w:val="6"/>
          <w:sz w:val="19"/>
          <w:szCs w:val="19"/>
          <w:lang w:eastAsia="zh-CN"/>
        </w:rPr>
        <w:t>。</w:t>
      </w:r>
    </w:p>
    <w:p w:rsidR="00A96B6A" w:rsidRPr="00C6293E" w:rsidRDefault="00703DA7" w:rsidP="00C6293E">
      <w:pPr>
        <w:jc w:val="both"/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</w:pPr>
      <w:r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2.</w:t>
      </w:r>
      <w:r w:rsidR="00A96B6A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 xml:space="preserve">7 </w:t>
      </w:r>
      <w:r w:rsidR="00A96B6A" w:rsidRPr="00C6293E">
        <w:rPr>
          <w:rFonts w:ascii="Times New Roman" w:eastAsia="微软雅黑" w:hAnsi="Times New Roman" w:cs="Times New Roman"/>
          <w:b/>
          <w:sz w:val="19"/>
          <w:szCs w:val="19"/>
          <w:lang w:eastAsia="zh-CN"/>
        </w:rPr>
        <w:t>除酶</w:t>
      </w:r>
    </w:p>
    <w:p w:rsidR="00A96B6A" w:rsidRDefault="00A96B6A" w:rsidP="00C6293E">
      <w:pPr>
        <w:pStyle w:val="a0"/>
        <w:spacing w:before="87" w:line="244" w:lineRule="auto"/>
        <w:ind w:right="103" w:firstLineChars="200" w:firstLine="392"/>
        <w:jc w:val="both"/>
        <w:rPr>
          <w:rFonts w:ascii="Times New Roman" w:hAnsi="Times New Roman" w:cs="Times New Roman"/>
          <w:spacing w:val="6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将收集的流穿液缓慢流过经洗涤</w:t>
      </w:r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buffer</w:t>
      </w:r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平衡过的</w:t>
      </w:r>
      <w:proofErr w:type="gramStart"/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的</w:t>
      </w:r>
      <w:proofErr w:type="gramEnd"/>
      <w:r w:rsidRPr="00C6293E">
        <w:rPr>
          <w:rFonts w:ascii="Times New Roman" w:hAnsi="Times New Roman" w:cs="Times New Roman"/>
          <w:spacing w:val="6"/>
          <w:sz w:val="19"/>
          <w:szCs w:val="19"/>
          <w:lang w:eastAsia="zh-CN"/>
        </w:rPr>
        <w:t>除酶填料，收集目的蛋白。</w:t>
      </w:r>
    </w:p>
    <w:p w:rsidR="006D671A" w:rsidRPr="00C6293E" w:rsidRDefault="006D671A" w:rsidP="006D671A">
      <w:pPr>
        <w:pStyle w:val="a8"/>
        <w:rPr>
          <w:rFonts w:ascii="Times New Roman" w:hAnsi="Times New Roman" w:cs="Times New Roman"/>
        </w:rPr>
      </w:pPr>
      <w:bookmarkStart w:id="9" w:name="_Toc154493430"/>
      <w:r>
        <w:rPr>
          <w:rFonts w:ascii="Times New Roman" w:hAnsi="Times New Roman" w:cs="Times New Roman"/>
        </w:rPr>
        <w:t>3.</w:t>
      </w:r>
      <w:r w:rsidRPr="00C6293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试剂兼容性表</w:t>
      </w:r>
      <w:bookmarkEnd w:id="9"/>
    </w:p>
    <w:p w:rsidR="00262EF8" w:rsidRPr="002C1AA4" w:rsidRDefault="009C616F" w:rsidP="002C1AA4">
      <w:pPr>
        <w:pStyle w:val="a0"/>
        <w:spacing w:before="87" w:line="244" w:lineRule="auto"/>
        <w:ind w:right="103" w:firstLineChars="200" w:firstLine="392"/>
        <w:jc w:val="both"/>
        <w:rPr>
          <w:rFonts w:ascii="Times New Roman" w:hAnsi="Times New Roman" w:cs="Times New Roman"/>
          <w:spacing w:val="6"/>
          <w:sz w:val="19"/>
          <w:szCs w:val="19"/>
          <w:lang w:eastAsia="zh-CN"/>
        </w:rPr>
      </w:pPr>
      <w:proofErr w:type="gramStart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上样过程</w:t>
      </w:r>
      <w:proofErr w:type="gramEnd"/>
      <w:r w:rsidRPr="002C1AA4">
        <w:rPr>
          <w:rFonts w:ascii="Times New Roman" w:hAnsi="Times New Roman" w:cs="Times New Roman"/>
          <w:spacing w:val="6"/>
          <w:sz w:val="19"/>
          <w:szCs w:val="19"/>
          <w:lang w:eastAsia="zh-CN"/>
        </w:rPr>
        <w:t>中，样品缓冲液中的化学试剂可能会干扰目标蛋白与填料的结合，请参考下表添加合适浓度的化学试剂。</w:t>
      </w:r>
    </w:p>
    <w:p w:rsidR="00262EF8" w:rsidRPr="00C6293E" w:rsidRDefault="009C616F">
      <w:pPr>
        <w:pStyle w:val="a0"/>
        <w:spacing w:before="87" w:line="172" w:lineRule="auto"/>
        <w:ind w:left="2810"/>
        <w:rPr>
          <w:rFonts w:ascii="Times New Roman" w:hAnsi="Times New Roman" w:cs="Times New Roman"/>
          <w:sz w:val="19"/>
          <w:szCs w:val="19"/>
          <w:lang w:eastAsia="zh-CN"/>
        </w:rPr>
      </w:pP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>表</w:t>
      </w:r>
      <w:r w:rsidR="00C6293E"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 xml:space="preserve"> 3</w:t>
      </w: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>.</w:t>
      </w:r>
      <w:r w:rsidRPr="00C6293E">
        <w:rPr>
          <w:rFonts w:ascii="Times New Roman" w:hAnsi="Times New Roman" w:cs="Times New Roman"/>
          <w:spacing w:val="55"/>
          <w:w w:val="101"/>
          <w:sz w:val="19"/>
          <w:szCs w:val="19"/>
          <w:lang w:eastAsia="zh-CN"/>
        </w:rPr>
        <w:t xml:space="preserve"> </w:t>
      </w:r>
      <w:r w:rsidRPr="00C6293E">
        <w:rPr>
          <w:rFonts w:ascii="Times New Roman" w:hAnsi="Times New Roman" w:cs="Times New Roman"/>
          <w:spacing w:val="7"/>
          <w:sz w:val="19"/>
          <w:szCs w:val="19"/>
          <w:lang w:eastAsia="zh-CN"/>
        </w:rPr>
        <w:t>样品缓冲液中试剂兼容性</w:t>
      </w:r>
    </w:p>
    <w:tbl>
      <w:tblPr>
        <w:tblStyle w:val="TableNormal"/>
        <w:tblW w:w="41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19"/>
        <w:gridCol w:w="1383"/>
      </w:tblGrid>
      <w:tr w:rsidR="002C1AA4" w:rsidRPr="00C6293E" w:rsidTr="008B77AE">
        <w:trPr>
          <w:trHeight w:val="384"/>
          <w:jc w:val="center"/>
        </w:trPr>
        <w:tc>
          <w:tcPr>
            <w:tcW w:w="1244" w:type="dxa"/>
          </w:tcPr>
          <w:p w:rsidR="002C1AA4" w:rsidRPr="00661D26" w:rsidRDefault="002C1AA4">
            <w:pPr>
              <w:pStyle w:val="TableText"/>
              <w:spacing w:before="261" w:line="201" w:lineRule="auto"/>
              <w:ind w:left="111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661D26">
              <w:rPr>
                <w:rFonts w:ascii="Times New Roman" w:hAnsi="Times New Roman" w:cs="Times New Roman"/>
                <w:b/>
                <w:bCs/>
                <w:spacing w:val="8"/>
                <w:sz w:val="13"/>
              </w:rPr>
              <w:t>试剂类型</w:t>
            </w:r>
            <w:proofErr w:type="spellEnd"/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61" w:line="201" w:lineRule="auto"/>
              <w:ind w:left="109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661D26">
              <w:rPr>
                <w:rFonts w:ascii="Times New Roman" w:hAnsi="Times New Roman" w:cs="Times New Roman"/>
                <w:b/>
                <w:bCs/>
                <w:spacing w:val="7"/>
                <w:sz w:val="13"/>
              </w:rPr>
              <w:t>试剂</w:t>
            </w:r>
            <w:proofErr w:type="spellEnd"/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61" w:line="201" w:lineRule="auto"/>
              <w:ind w:left="109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661D26">
              <w:rPr>
                <w:rFonts w:ascii="Times New Roman" w:hAnsi="Times New Roman" w:cs="Times New Roman"/>
                <w:b/>
                <w:bCs/>
                <w:spacing w:val="9"/>
                <w:sz w:val="13"/>
              </w:rPr>
              <w:t>最大耐受浓度</w:t>
            </w:r>
            <w:proofErr w:type="spellEnd"/>
          </w:p>
        </w:tc>
      </w:tr>
      <w:tr w:rsidR="002C1AA4" w:rsidRPr="00C6293E" w:rsidTr="008B77AE">
        <w:trPr>
          <w:trHeight w:val="435"/>
          <w:jc w:val="center"/>
        </w:trPr>
        <w:tc>
          <w:tcPr>
            <w:tcW w:w="1244" w:type="dxa"/>
            <w:vMerge w:val="restart"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  <w:t>去垢剂</w:t>
            </w: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313" w:line="175" w:lineRule="auto"/>
              <w:ind w:left="125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z w:val="13"/>
                <w:lang w:eastAsia="zh-CN"/>
              </w:rPr>
              <w:t>DDM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309" w:line="178" w:lineRule="auto"/>
              <w:ind w:left="127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</w:rPr>
              <w:t>20%</w:t>
            </w:r>
          </w:p>
        </w:tc>
      </w:tr>
      <w:tr w:rsidR="002C1AA4" w:rsidRPr="00C6293E" w:rsidTr="008B77AE">
        <w:trPr>
          <w:trHeight w:val="435"/>
          <w:jc w:val="center"/>
        </w:trPr>
        <w:tc>
          <w:tcPr>
            <w:tcW w:w="1244" w:type="dxa"/>
            <w:vMerge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313" w:line="175" w:lineRule="auto"/>
              <w:ind w:left="125"/>
              <w:rPr>
                <w:rFonts w:ascii="Times New Roman" w:hAnsi="Times New Roman" w:cs="Times New Roman"/>
                <w:spacing w:val="-3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  <w:lang w:eastAsia="zh-CN"/>
              </w:rPr>
              <w:t>LMNG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309" w:line="178" w:lineRule="auto"/>
              <w:ind w:left="127"/>
              <w:rPr>
                <w:rFonts w:ascii="Times New Roman" w:hAnsi="Times New Roman" w:cs="Times New Roman"/>
                <w:spacing w:val="-3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</w:rPr>
              <w:t>20%</w:t>
            </w:r>
          </w:p>
        </w:tc>
      </w:tr>
      <w:tr w:rsidR="002C1AA4" w:rsidRPr="00C6293E" w:rsidTr="008B77AE">
        <w:trPr>
          <w:trHeight w:val="435"/>
          <w:jc w:val="center"/>
        </w:trPr>
        <w:tc>
          <w:tcPr>
            <w:tcW w:w="1244" w:type="dxa"/>
            <w:vMerge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313" w:line="175" w:lineRule="auto"/>
              <w:ind w:left="125"/>
              <w:rPr>
                <w:rFonts w:ascii="Times New Roman" w:hAnsi="Times New Roman" w:cs="Times New Roman"/>
                <w:spacing w:val="-3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  <w:lang w:eastAsia="zh-CN"/>
              </w:rPr>
              <w:t>GDN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309" w:line="178" w:lineRule="auto"/>
              <w:ind w:left="127"/>
              <w:rPr>
                <w:rFonts w:ascii="Times New Roman" w:hAnsi="Times New Roman" w:cs="Times New Roman"/>
                <w:spacing w:val="-3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</w:rPr>
              <w:t>20%</w:t>
            </w:r>
          </w:p>
        </w:tc>
      </w:tr>
      <w:tr w:rsidR="002C1AA4" w:rsidRPr="00C6293E" w:rsidTr="008B77AE">
        <w:trPr>
          <w:trHeight w:val="337"/>
          <w:jc w:val="center"/>
        </w:trPr>
        <w:tc>
          <w:tcPr>
            <w:tcW w:w="1244" w:type="dxa"/>
            <w:vMerge w:val="restart"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  <w:r w:rsidRPr="00661D26"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  <w:t>还原剂</w:t>
            </w: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33" w:line="177" w:lineRule="auto"/>
              <w:ind w:left="110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2"/>
                <w:sz w:val="13"/>
              </w:rPr>
              <w:t>TCEP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24" w:line="219" w:lineRule="auto"/>
              <w:ind w:left="123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4"/>
                <w:sz w:val="13"/>
              </w:rPr>
              <w:t>5</w:t>
            </w:r>
            <w:r w:rsidRPr="00661D26">
              <w:rPr>
                <w:rFonts w:ascii="Times New Roman" w:hAnsi="Times New Roman" w:cs="Times New Roman"/>
                <w:spacing w:val="22"/>
                <w:sz w:val="13"/>
              </w:rPr>
              <w:t xml:space="preserve"> </w:t>
            </w:r>
            <w:proofErr w:type="spellStart"/>
            <w:r w:rsidRPr="00661D26">
              <w:rPr>
                <w:rFonts w:ascii="Times New Roman" w:hAnsi="Times New Roman" w:cs="Times New Roman"/>
                <w:spacing w:val="-4"/>
                <w:sz w:val="13"/>
              </w:rPr>
              <w:t>mM</w:t>
            </w:r>
            <w:proofErr w:type="spellEnd"/>
          </w:p>
        </w:tc>
      </w:tr>
      <w:tr w:rsidR="002C1AA4" w:rsidRPr="00C6293E" w:rsidTr="008B77AE">
        <w:trPr>
          <w:trHeight w:val="333"/>
          <w:jc w:val="center"/>
        </w:trPr>
        <w:tc>
          <w:tcPr>
            <w:tcW w:w="1244" w:type="dxa"/>
            <w:vMerge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22" w:line="186" w:lineRule="auto"/>
              <w:ind w:left="123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3"/>
                <w:sz w:val="13"/>
              </w:rPr>
              <w:t>β‐</w:t>
            </w:r>
            <w:r w:rsidRPr="00661D26">
              <w:rPr>
                <w:rFonts w:ascii="Times New Roman" w:hAnsi="Times New Roman" w:cs="Times New Roman"/>
                <w:sz w:val="13"/>
              </w:rPr>
              <w:t>ME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30" w:line="178" w:lineRule="auto"/>
              <w:ind w:left="127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1"/>
                <w:sz w:val="13"/>
              </w:rPr>
              <w:t>150</w:t>
            </w:r>
            <w:r w:rsidRPr="00661D26">
              <w:rPr>
                <w:rFonts w:ascii="Times New Roman" w:hAnsi="Times New Roman" w:cs="Times New Roman"/>
                <w:spacing w:val="22"/>
                <w:w w:val="101"/>
                <w:sz w:val="13"/>
              </w:rPr>
              <w:t xml:space="preserve"> </w:t>
            </w:r>
            <w:proofErr w:type="spellStart"/>
            <w:r w:rsidRPr="00661D26">
              <w:rPr>
                <w:rFonts w:ascii="Times New Roman" w:hAnsi="Times New Roman" w:cs="Times New Roman"/>
                <w:spacing w:val="-1"/>
                <w:sz w:val="13"/>
              </w:rPr>
              <w:t>mM</w:t>
            </w:r>
            <w:proofErr w:type="spellEnd"/>
          </w:p>
        </w:tc>
      </w:tr>
      <w:tr w:rsidR="002C1AA4" w:rsidRPr="00C6293E" w:rsidTr="008B77AE">
        <w:trPr>
          <w:trHeight w:val="338"/>
          <w:jc w:val="center"/>
        </w:trPr>
        <w:tc>
          <w:tcPr>
            <w:tcW w:w="1244" w:type="dxa"/>
            <w:vMerge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40" w:line="175" w:lineRule="auto"/>
              <w:ind w:left="125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3"/>
                <w:sz w:val="13"/>
              </w:rPr>
              <w:t>DTT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36" w:line="178" w:lineRule="auto"/>
              <w:ind w:left="127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1"/>
                <w:sz w:val="13"/>
              </w:rPr>
              <w:t>100</w:t>
            </w:r>
            <w:r w:rsidRPr="00661D26">
              <w:rPr>
                <w:rFonts w:ascii="Times New Roman" w:hAnsi="Times New Roman" w:cs="Times New Roman"/>
                <w:spacing w:val="22"/>
                <w:w w:val="101"/>
                <w:sz w:val="13"/>
              </w:rPr>
              <w:t xml:space="preserve"> </w:t>
            </w:r>
            <w:proofErr w:type="spellStart"/>
            <w:r w:rsidRPr="00661D26">
              <w:rPr>
                <w:rFonts w:ascii="Times New Roman" w:hAnsi="Times New Roman" w:cs="Times New Roman"/>
                <w:spacing w:val="-1"/>
                <w:sz w:val="13"/>
              </w:rPr>
              <w:t>mM</w:t>
            </w:r>
            <w:proofErr w:type="spellEnd"/>
          </w:p>
        </w:tc>
      </w:tr>
      <w:tr w:rsidR="002C1AA4" w:rsidRPr="00C6293E" w:rsidTr="008B77AE">
        <w:trPr>
          <w:trHeight w:val="342"/>
          <w:jc w:val="center"/>
        </w:trPr>
        <w:tc>
          <w:tcPr>
            <w:tcW w:w="1244" w:type="dxa"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  <w:r w:rsidRPr="00661D26"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  <w:t>其它试剂</w:t>
            </w: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38" w:line="185" w:lineRule="auto"/>
              <w:ind w:left="115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3"/>
                <w:sz w:val="13"/>
              </w:rPr>
              <w:t>Glycerol</w:t>
            </w:r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47" w:line="177" w:lineRule="auto"/>
              <w:ind w:left="108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6"/>
                <w:sz w:val="13"/>
              </w:rPr>
              <w:t>50%</w:t>
            </w:r>
          </w:p>
        </w:tc>
      </w:tr>
      <w:tr w:rsidR="002C1AA4" w:rsidRPr="00C6293E" w:rsidTr="008B77AE">
        <w:trPr>
          <w:trHeight w:val="337"/>
          <w:jc w:val="center"/>
        </w:trPr>
        <w:tc>
          <w:tcPr>
            <w:tcW w:w="1244" w:type="dxa"/>
            <w:vMerge w:val="restart"/>
            <w:vAlign w:val="center"/>
          </w:tcPr>
          <w:p w:rsidR="002C1AA4" w:rsidRPr="00661D26" w:rsidRDefault="002C1AA4" w:rsidP="002C1AA4">
            <w:pPr>
              <w:pStyle w:val="TableText"/>
              <w:spacing w:before="301" w:line="201" w:lineRule="auto"/>
              <w:ind w:left="111"/>
              <w:jc w:val="center"/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</w:pPr>
            <w:r w:rsidRPr="00661D26">
              <w:rPr>
                <w:rFonts w:ascii="Times New Roman" w:hAnsi="Times New Roman" w:cs="Times New Roman"/>
                <w:spacing w:val="8"/>
                <w:sz w:val="13"/>
                <w:lang w:eastAsia="zh-CN"/>
              </w:rPr>
              <w:t>盐类</w:t>
            </w: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35" w:line="219" w:lineRule="auto"/>
              <w:ind w:left="125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661D26">
              <w:rPr>
                <w:rFonts w:ascii="Times New Roman" w:hAnsi="Times New Roman" w:cs="Times New Roman"/>
                <w:spacing w:val="-5"/>
                <w:sz w:val="13"/>
              </w:rPr>
              <w:t>KCl</w:t>
            </w:r>
            <w:proofErr w:type="spellEnd"/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43" w:line="178" w:lineRule="auto"/>
              <w:ind w:left="127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8"/>
                <w:sz w:val="13"/>
              </w:rPr>
              <w:t>1</w:t>
            </w:r>
            <w:r w:rsidRPr="00661D26">
              <w:rPr>
                <w:rFonts w:ascii="Times New Roman" w:hAnsi="Times New Roman" w:cs="Times New Roman"/>
                <w:spacing w:val="24"/>
                <w:sz w:val="13"/>
              </w:rPr>
              <w:t xml:space="preserve"> </w:t>
            </w:r>
            <w:r w:rsidRPr="00661D26">
              <w:rPr>
                <w:rFonts w:ascii="Times New Roman" w:hAnsi="Times New Roman" w:cs="Times New Roman"/>
                <w:spacing w:val="-8"/>
                <w:sz w:val="13"/>
              </w:rPr>
              <w:t>M</w:t>
            </w:r>
          </w:p>
        </w:tc>
      </w:tr>
      <w:tr w:rsidR="002C1AA4" w:rsidRPr="00C6293E" w:rsidTr="008B77AE">
        <w:trPr>
          <w:trHeight w:val="349"/>
          <w:jc w:val="center"/>
        </w:trPr>
        <w:tc>
          <w:tcPr>
            <w:tcW w:w="1244" w:type="dxa"/>
            <w:vMerge/>
          </w:tcPr>
          <w:p w:rsidR="002C1AA4" w:rsidRPr="00661D26" w:rsidRDefault="002C1AA4">
            <w:pPr>
              <w:rPr>
                <w:rFonts w:ascii="Times New Roman" w:hAnsi="Times New Roman" w:cs="Times New Roman"/>
                <w:sz w:val="13"/>
                <w:lang w:eastAsia="zh-CN"/>
              </w:rPr>
            </w:pPr>
          </w:p>
        </w:tc>
        <w:tc>
          <w:tcPr>
            <w:tcW w:w="1519" w:type="dxa"/>
          </w:tcPr>
          <w:p w:rsidR="002C1AA4" w:rsidRPr="00661D26" w:rsidRDefault="002C1AA4">
            <w:pPr>
              <w:pStyle w:val="TableText"/>
              <w:spacing w:before="244" w:line="181" w:lineRule="auto"/>
              <w:ind w:left="125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661D26">
              <w:rPr>
                <w:rFonts w:ascii="Times New Roman" w:hAnsi="Times New Roman" w:cs="Times New Roman"/>
                <w:sz w:val="13"/>
              </w:rPr>
              <w:t>NaCl</w:t>
            </w:r>
            <w:proofErr w:type="spellEnd"/>
          </w:p>
        </w:tc>
        <w:tc>
          <w:tcPr>
            <w:tcW w:w="1383" w:type="dxa"/>
          </w:tcPr>
          <w:p w:rsidR="002C1AA4" w:rsidRPr="00661D26" w:rsidRDefault="002C1AA4">
            <w:pPr>
              <w:pStyle w:val="TableText"/>
              <w:spacing w:before="248" w:line="178" w:lineRule="auto"/>
              <w:ind w:left="127"/>
              <w:rPr>
                <w:rFonts w:ascii="Times New Roman" w:hAnsi="Times New Roman" w:cs="Times New Roman"/>
                <w:sz w:val="13"/>
              </w:rPr>
            </w:pPr>
            <w:r w:rsidRPr="00661D26">
              <w:rPr>
                <w:rFonts w:ascii="Times New Roman" w:hAnsi="Times New Roman" w:cs="Times New Roman"/>
                <w:spacing w:val="-8"/>
                <w:sz w:val="13"/>
              </w:rPr>
              <w:t>1</w:t>
            </w:r>
            <w:r w:rsidRPr="00661D26">
              <w:rPr>
                <w:rFonts w:ascii="Times New Roman" w:hAnsi="Times New Roman" w:cs="Times New Roman"/>
                <w:spacing w:val="24"/>
                <w:sz w:val="13"/>
              </w:rPr>
              <w:t xml:space="preserve"> </w:t>
            </w:r>
            <w:r w:rsidRPr="00661D26">
              <w:rPr>
                <w:rFonts w:ascii="Times New Roman" w:hAnsi="Times New Roman" w:cs="Times New Roman"/>
                <w:spacing w:val="-8"/>
                <w:sz w:val="13"/>
              </w:rPr>
              <w:t>M</w:t>
            </w:r>
          </w:p>
        </w:tc>
      </w:tr>
    </w:tbl>
    <w:p w:rsidR="00262EF8" w:rsidRPr="002C1AA4" w:rsidRDefault="00262EF8" w:rsidP="00AB2CA1">
      <w:pPr>
        <w:pStyle w:val="a0"/>
        <w:spacing w:before="82" w:line="242" w:lineRule="auto"/>
        <w:ind w:right="756"/>
        <w:rPr>
          <w:rFonts w:ascii="Times New Roman" w:hAnsi="Times New Roman" w:cs="Times New Roman"/>
          <w:spacing w:val="6"/>
          <w:sz w:val="19"/>
          <w:szCs w:val="19"/>
          <w:lang w:eastAsia="zh-CN"/>
        </w:rPr>
        <w:sectPr w:rsidR="00262EF8" w:rsidRPr="002C1AA4">
          <w:footerReference w:type="default" r:id="rId10"/>
          <w:pgSz w:w="11900" w:h="16841"/>
          <w:pgMar w:top="1334" w:right="1041" w:bottom="1270" w:left="1784" w:header="645" w:footer="440" w:gutter="0"/>
          <w:cols w:space="720"/>
        </w:sectPr>
      </w:pPr>
      <w:bookmarkStart w:id="10" w:name="bookmark7"/>
      <w:bookmarkStart w:id="11" w:name="bookmark6"/>
      <w:bookmarkEnd w:id="10"/>
      <w:bookmarkEnd w:id="11"/>
    </w:p>
    <w:p w:rsidR="00262EF8" w:rsidRPr="00C6293E" w:rsidRDefault="00AB2CA1" w:rsidP="00C6293E">
      <w:pPr>
        <w:pStyle w:val="a8"/>
        <w:rPr>
          <w:rFonts w:ascii="Times New Roman" w:hAnsi="Times New Roman" w:cs="Times New Roman"/>
        </w:rPr>
      </w:pPr>
      <w:bookmarkStart w:id="12" w:name="bookmark8"/>
      <w:bookmarkStart w:id="13" w:name="bookmark9"/>
      <w:bookmarkStart w:id="14" w:name="_Toc154493433"/>
      <w:bookmarkEnd w:id="12"/>
      <w:bookmarkEnd w:id="13"/>
      <w:r>
        <w:rPr>
          <w:rFonts w:ascii="Times New Roman" w:hAnsi="Times New Roman" w:cs="Times New Roman"/>
        </w:rPr>
        <w:lastRenderedPageBreak/>
        <w:t>4</w:t>
      </w:r>
      <w:r w:rsidR="009C616F" w:rsidRPr="00C6293E">
        <w:rPr>
          <w:rFonts w:ascii="Times New Roman" w:hAnsi="Times New Roman" w:cs="Times New Roman"/>
        </w:rPr>
        <w:t xml:space="preserve">.   </w:t>
      </w:r>
      <w:r w:rsidR="009C616F" w:rsidRPr="00C6293E">
        <w:rPr>
          <w:rFonts w:ascii="Times New Roman" w:hAnsi="Times New Roman" w:cs="Times New Roman"/>
        </w:rPr>
        <w:t>问题处理</w:t>
      </w:r>
      <w:bookmarkStart w:id="15" w:name="_GoBack"/>
      <w:bookmarkEnd w:id="14"/>
      <w:bookmarkEnd w:id="15"/>
    </w:p>
    <w:p w:rsidR="00262EF8" w:rsidRPr="00C6293E" w:rsidRDefault="00262EF8">
      <w:pPr>
        <w:spacing w:line="93" w:lineRule="exact"/>
        <w:rPr>
          <w:rFonts w:ascii="Times New Roman" w:hAnsi="Times New Roman" w:cs="Times New Roman"/>
        </w:rPr>
      </w:pPr>
    </w:p>
    <w:tbl>
      <w:tblPr>
        <w:tblStyle w:val="TableNormal"/>
        <w:tblW w:w="869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222"/>
        <w:gridCol w:w="5356"/>
      </w:tblGrid>
      <w:tr w:rsidR="00262EF8" w:rsidRPr="00E35029" w:rsidTr="008B77AE">
        <w:trPr>
          <w:trHeight w:val="512"/>
        </w:trPr>
        <w:tc>
          <w:tcPr>
            <w:tcW w:w="1116" w:type="dxa"/>
          </w:tcPr>
          <w:p w:rsidR="00262EF8" w:rsidRPr="00E35029" w:rsidRDefault="009C616F">
            <w:pPr>
              <w:pStyle w:val="TableText"/>
              <w:spacing w:before="188" w:line="194" w:lineRule="auto"/>
              <w:ind w:left="367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E35029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21"/>
              </w:rPr>
              <w:t>问题</w:t>
            </w:r>
            <w:proofErr w:type="spellEnd"/>
          </w:p>
        </w:tc>
        <w:tc>
          <w:tcPr>
            <w:tcW w:w="2222" w:type="dxa"/>
          </w:tcPr>
          <w:p w:rsidR="00262EF8" w:rsidRPr="00E35029" w:rsidRDefault="009C616F">
            <w:pPr>
              <w:pStyle w:val="TableText"/>
              <w:spacing w:before="188" w:line="195" w:lineRule="auto"/>
              <w:ind w:left="715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E35029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21"/>
              </w:rPr>
              <w:t>可能原因</w:t>
            </w:r>
            <w:proofErr w:type="spellEnd"/>
          </w:p>
        </w:tc>
        <w:tc>
          <w:tcPr>
            <w:tcW w:w="5356" w:type="dxa"/>
          </w:tcPr>
          <w:p w:rsidR="00262EF8" w:rsidRPr="00E35029" w:rsidRDefault="009C616F">
            <w:pPr>
              <w:pStyle w:val="TableText"/>
              <w:spacing w:before="187" w:line="195" w:lineRule="auto"/>
              <w:ind w:left="2314"/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E35029">
              <w:rPr>
                <w:rFonts w:ascii="Times New Roman" w:hAnsi="Times New Roman" w:cs="Times New Roman"/>
                <w:b/>
                <w:bCs/>
                <w:sz w:val="18"/>
                <w:szCs w:val="21"/>
              </w:rPr>
              <w:t>解决方法</w:t>
            </w:r>
            <w:proofErr w:type="spellEnd"/>
          </w:p>
        </w:tc>
      </w:tr>
      <w:tr w:rsidR="00262EF8" w:rsidRPr="00E35029" w:rsidTr="008B77AE">
        <w:trPr>
          <w:trHeight w:val="360"/>
        </w:trPr>
        <w:tc>
          <w:tcPr>
            <w:tcW w:w="1116" w:type="dxa"/>
            <w:vMerge w:val="restart"/>
            <w:vAlign w:val="center"/>
          </w:tcPr>
          <w:p w:rsidR="00262EF8" w:rsidRPr="00E35029" w:rsidRDefault="00D57465" w:rsidP="001A27EE">
            <w:pPr>
              <w:pStyle w:val="TableText"/>
              <w:spacing w:before="1" w:line="200" w:lineRule="auto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穿透中有目的蛋白</w:t>
            </w:r>
          </w:p>
        </w:tc>
        <w:tc>
          <w:tcPr>
            <w:tcW w:w="2222" w:type="dxa"/>
            <w:vAlign w:val="center"/>
          </w:tcPr>
          <w:p w:rsidR="00262EF8" w:rsidRPr="00E35029" w:rsidRDefault="00D57465" w:rsidP="001A27EE">
            <w:pPr>
              <w:pStyle w:val="TableText"/>
              <w:spacing w:before="109" w:line="200" w:lineRule="auto"/>
              <w:ind w:left="117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填料与目的蛋白结合时间太短</w:t>
            </w:r>
          </w:p>
        </w:tc>
        <w:tc>
          <w:tcPr>
            <w:tcW w:w="5356" w:type="dxa"/>
            <w:vAlign w:val="center"/>
          </w:tcPr>
          <w:p w:rsidR="00262EF8" w:rsidRPr="00E35029" w:rsidRDefault="00D57465" w:rsidP="001A27EE">
            <w:pPr>
              <w:pStyle w:val="TableText"/>
              <w:spacing w:before="109" w:line="200" w:lineRule="auto"/>
              <w:ind w:left="119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延长样品与填料的结合时间，</w:t>
            </w:r>
            <w:r w:rsidR="001A27EE"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可延长至</w:t>
            </w:r>
            <w:r w:rsidR="001A27EE"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2h</w:t>
            </w:r>
            <w:r w:rsidR="001A27EE"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以上或</w:t>
            </w:r>
            <w:r w:rsidR="001A27EE"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4℃</w:t>
            </w:r>
            <w:r w:rsidR="001A27EE"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过夜</w:t>
            </w:r>
          </w:p>
        </w:tc>
      </w:tr>
      <w:tr w:rsidR="00262EF8" w:rsidRPr="00E35029" w:rsidTr="008B77AE">
        <w:trPr>
          <w:trHeight w:val="851"/>
        </w:trPr>
        <w:tc>
          <w:tcPr>
            <w:tcW w:w="1116" w:type="dxa"/>
            <w:vMerge/>
            <w:vAlign w:val="center"/>
          </w:tcPr>
          <w:p w:rsidR="00262EF8" w:rsidRPr="00E35029" w:rsidRDefault="00262EF8" w:rsidP="001A27EE">
            <w:pPr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</w:tc>
        <w:tc>
          <w:tcPr>
            <w:tcW w:w="2222" w:type="dxa"/>
            <w:vAlign w:val="center"/>
          </w:tcPr>
          <w:p w:rsidR="00262EF8" w:rsidRPr="00E35029" w:rsidRDefault="009C616F" w:rsidP="001A27EE">
            <w:pPr>
              <w:pStyle w:val="TableText"/>
              <w:spacing w:before="212" w:line="227" w:lineRule="auto"/>
              <w:ind w:left="117" w:right="151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9"/>
                <w:sz w:val="18"/>
                <w:lang w:eastAsia="zh-CN"/>
              </w:rPr>
              <w:t>反应过程中，填料未能</w:t>
            </w:r>
            <w:r w:rsidRPr="00E35029">
              <w:rPr>
                <w:rFonts w:ascii="Times New Roman" w:hAnsi="Times New Roman" w:cs="Times New Roman"/>
                <w:spacing w:val="8"/>
                <w:sz w:val="18"/>
                <w:lang w:eastAsia="zh-CN"/>
              </w:rPr>
              <w:t>充分重悬</w:t>
            </w:r>
          </w:p>
        </w:tc>
        <w:tc>
          <w:tcPr>
            <w:tcW w:w="5356" w:type="dxa"/>
            <w:vAlign w:val="center"/>
          </w:tcPr>
          <w:p w:rsidR="00262EF8" w:rsidRPr="00E35029" w:rsidRDefault="009E23AE" w:rsidP="009E23AE">
            <w:pPr>
              <w:pStyle w:val="TableText"/>
              <w:spacing w:before="211" w:line="227" w:lineRule="auto"/>
              <w:ind w:left="118" w:right="348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9"/>
                <w:sz w:val="18"/>
                <w:lang w:eastAsia="zh-CN"/>
              </w:rPr>
              <w:t>调整样品与填料孵育时的反应条件，使填料和样品</w:t>
            </w:r>
            <w:r w:rsidRPr="00E35029">
              <w:rPr>
                <w:rFonts w:ascii="Times New Roman" w:hAnsi="Times New Roman" w:cs="Times New Roman" w:hint="eastAsia"/>
                <w:spacing w:val="9"/>
                <w:sz w:val="18"/>
                <w:lang w:eastAsia="zh-CN"/>
              </w:rPr>
              <w:t>充分结合</w:t>
            </w:r>
          </w:p>
        </w:tc>
      </w:tr>
      <w:tr w:rsidR="00262EF8" w:rsidRPr="00E35029" w:rsidTr="008B77AE">
        <w:trPr>
          <w:trHeight w:val="327"/>
        </w:trPr>
        <w:tc>
          <w:tcPr>
            <w:tcW w:w="1116" w:type="dxa"/>
            <w:vMerge/>
            <w:vAlign w:val="center"/>
          </w:tcPr>
          <w:p w:rsidR="00262EF8" w:rsidRPr="00E35029" w:rsidRDefault="00262EF8" w:rsidP="001A27EE">
            <w:pPr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</w:tc>
        <w:tc>
          <w:tcPr>
            <w:tcW w:w="2222" w:type="dxa"/>
            <w:vAlign w:val="center"/>
          </w:tcPr>
          <w:p w:rsidR="00262EF8" w:rsidRPr="00E35029" w:rsidRDefault="009C616F" w:rsidP="001A27EE">
            <w:pPr>
              <w:pStyle w:val="TableText"/>
              <w:spacing w:before="101" w:line="179" w:lineRule="auto"/>
              <w:ind w:left="11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029">
              <w:rPr>
                <w:rFonts w:ascii="Times New Roman" w:hAnsi="Times New Roman" w:cs="Times New Roman"/>
                <w:spacing w:val="8"/>
                <w:sz w:val="18"/>
              </w:rPr>
              <w:t>填料过载</w:t>
            </w:r>
            <w:proofErr w:type="spellEnd"/>
          </w:p>
        </w:tc>
        <w:tc>
          <w:tcPr>
            <w:tcW w:w="5356" w:type="dxa"/>
            <w:vAlign w:val="center"/>
          </w:tcPr>
          <w:p w:rsidR="00262EF8" w:rsidRPr="00E35029" w:rsidRDefault="009C616F" w:rsidP="001A27EE">
            <w:pPr>
              <w:pStyle w:val="TableText"/>
              <w:spacing w:before="101" w:line="179" w:lineRule="auto"/>
              <w:ind w:left="119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proofErr w:type="gramStart"/>
            <w:r w:rsidRPr="00E35029">
              <w:rPr>
                <w:rFonts w:ascii="Times New Roman" w:hAnsi="Times New Roman" w:cs="Times New Roman"/>
                <w:spacing w:val="9"/>
                <w:sz w:val="18"/>
                <w:lang w:eastAsia="zh-CN"/>
              </w:rPr>
              <w:t>减少上样体积</w:t>
            </w:r>
            <w:proofErr w:type="gramEnd"/>
            <w:r w:rsidRPr="00E35029">
              <w:rPr>
                <w:rFonts w:ascii="Times New Roman" w:hAnsi="Times New Roman" w:cs="Times New Roman"/>
                <w:spacing w:val="9"/>
                <w:sz w:val="18"/>
                <w:lang w:eastAsia="zh-CN"/>
              </w:rPr>
              <w:t>或增加填料的体积</w:t>
            </w:r>
          </w:p>
        </w:tc>
      </w:tr>
      <w:tr w:rsidR="00262EF8" w:rsidRPr="00E35029" w:rsidTr="008B77AE">
        <w:trPr>
          <w:trHeight w:val="651"/>
        </w:trPr>
        <w:tc>
          <w:tcPr>
            <w:tcW w:w="1116" w:type="dxa"/>
            <w:vMerge/>
            <w:vAlign w:val="center"/>
          </w:tcPr>
          <w:p w:rsidR="00262EF8" w:rsidRPr="00E35029" w:rsidRDefault="00262EF8" w:rsidP="001A27EE">
            <w:pPr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</w:tc>
        <w:tc>
          <w:tcPr>
            <w:tcW w:w="2222" w:type="dxa"/>
            <w:vAlign w:val="center"/>
          </w:tcPr>
          <w:p w:rsidR="00262EF8" w:rsidRPr="00E35029" w:rsidRDefault="009C616F" w:rsidP="001A27EE">
            <w:pPr>
              <w:pStyle w:val="TableText"/>
              <w:spacing w:before="281" w:line="201" w:lineRule="auto"/>
              <w:ind w:left="117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35029">
              <w:rPr>
                <w:rFonts w:ascii="Times New Roman" w:hAnsi="Times New Roman" w:cs="Times New Roman"/>
                <w:spacing w:val="9"/>
                <w:sz w:val="18"/>
              </w:rPr>
              <w:t>试剂兼容性问题</w:t>
            </w:r>
            <w:proofErr w:type="spellEnd"/>
          </w:p>
        </w:tc>
        <w:tc>
          <w:tcPr>
            <w:tcW w:w="5356" w:type="dxa"/>
            <w:vAlign w:val="center"/>
          </w:tcPr>
          <w:p w:rsidR="00262EF8" w:rsidRPr="00E35029" w:rsidRDefault="009C616F" w:rsidP="001A27EE">
            <w:pPr>
              <w:pStyle w:val="TableText"/>
              <w:spacing w:before="110" w:line="216" w:lineRule="auto"/>
              <w:ind w:left="117" w:right="143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10"/>
                <w:sz w:val="18"/>
                <w:lang w:eastAsia="zh-CN"/>
              </w:rPr>
              <w:t>参考试剂兼容性表，判断样品中试剂是否过量。如有过量，</w:t>
            </w: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 xml:space="preserve"> </w:t>
            </w:r>
            <w:r w:rsidR="009E23AE" w:rsidRPr="00E35029">
              <w:rPr>
                <w:rFonts w:ascii="Times New Roman" w:hAnsi="Times New Roman" w:cs="Times New Roman"/>
                <w:spacing w:val="11"/>
                <w:sz w:val="18"/>
                <w:lang w:eastAsia="zh-CN"/>
              </w:rPr>
              <w:t>纯化前对样品进行</w:t>
            </w:r>
            <w:r w:rsidR="009E23AE" w:rsidRPr="00E35029">
              <w:rPr>
                <w:rFonts w:ascii="Times New Roman" w:hAnsi="Times New Roman" w:cs="Times New Roman" w:hint="eastAsia"/>
                <w:spacing w:val="11"/>
                <w:sz w:val="18"/>
                <w:lang w:eastAsia="zh-CN"/>
              </w:rPr>
              <w:t>Buffer</w:t>
            </w:r>
            <w:r w:rsidR="009E23AE" w:rsidRPr="00E35029">
              <w:rPr>
                <w:rFonts w:ascii="Times New Roman" w:hAnsi="Times New Roman" w:cs="Times New Roman" w:hint="eastAsia"/>
                <w:spacing w:val="11"/>
                <w:sz w:val="18"/>
                <w:lang w:eastAsia="zh-CN"/>
              </w:rPr>
              <w:t>置换</w:t>
            </w:r>
          </w:p>
        </w:tc>
      </w:tr>
      <w:tr w:rsidR="00262EF8" w:rsidRPr="00E35029" w:rsidTr="008B77AE">
        <w:trPr>
          <w:trHeight w:val="634"/>
        </w:trPr>
        <w:tc>
          <w:tcPr>
            <w:tcW w:w="1116" w:type="dxa"/>
            <w:vMerge w:val="restart"/>
            <w:vAlign w:val="center"/>
          </w:tcPr>
          <w:p w:rsidR="00262EF8" w:rsidRPr="00E35029" w:rsidRDefault="001A27EE" w:rsidP="001A27EE">
            <w:pPr>
              <w:pStyle w:val="TableText"/>
              <w:spacing w:before="79" w:line="238" w:lineRule="auto"/>
              <w:ind w:left="2" w:right="126" w:firstLine="17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最终流穿样品中没有目的蛋白</w:t>
            </w:r>
          </w:p>
        </w:tc>
        <w:tc>
          <w:tcPr>
            <w:tcW w:w="2222" w:type="dxa"/>
            <w:vAlign w:val="center"/>
          </w:tcPr>
          <w:p w:rsidR="00262EF8" w:rsidRPr="00E35029" w:rsidRDefault="001A27EE" w:rsidP="001A27EE">
            <w:pPr>
              <w:pStyle w:val="TableText"/>
              <w:spacing w:before="69" w:line="177" w:lineRule="auto"/>
              <w:ind w:left="134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9"/>
                <w:sz w:val="18"/>
                <w:lang w:eastAsia="zh-CN"/>
              </w:rPr>
              <w:t>目的蛋白酶切不成功</w:t>
            </w:r>
          </w:p>
        </w:tc>
        <w:tc>
          <w:tcPr>
            <w:tcW w:w="5356" w:type="dxa"/>
            <w:vAlign w:val="center"/>
          </w:tcPr>
          <w:p w:rsidR="00262EF8" w:rsidRPr="00E35029" w:rsidRDefault="001A27EE" w:rsidP="001A27EE">
            <w:pPr>
              <w:pStyle w:val="TableText"/>
              <w:spacing w:before="265" w:line="201" w:lineRule="auto"/>
              <w:ind w:left="119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8"/>
                <w:sz w:val="18"/>
                <w:lang w:eastAsia="zh-CN"/>
              </w:rPr>
              <w:t>确保使用含有活性的酶，增加酶</w:t>
            </w:r>
            <w:proofErr w:type="gramStart"/>
            <w:r w:rsidRPr="00E35029">
              <w:rPr>
                <w:rFonts w:ascii="Times New Roman" w:hAnsi="Times New Roman" w:cs="Times New Roman"/>
                <w:spacing w:val="8"/>
                <w:sz w:val="18"/>
                <w:lang w:eastAsia="zh-CN"/>
              </w:rPr>
              <w:t>切时间</w:t>
            </w:r>
            <w:proofErr w:type="gramEnd"/>
          </w:p>
        </w:tc>
      </w:tr>
      <w:tr w:rsidR="00262EF8" w:rsidRPr="00E35029" w:rsidTr="008B77AE">
        <w:trPr>
          <w:trHeight w:val="430"/>
        </w:trPr>
        <w:tc>
          <w:tcPr>
            <w:tcW w:w="1116" w:type="dxa"/>
            <w:vMerge/>
            <w:vAlign w:val="center"/>
          </w:tcPr>
          <w:p w:rsidR="00262EF8" w:rsidRPr="00E35029" w:rsidRDefault="00262EF8" w:rsidP="001A27EE">
            <w:pPr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</w:tc>
        <w:tc>
          <w:tcPr>
            <w:tcW w:w="2222" w:type="dxa"/>
            <w:vAlign w:val="center"/>
          </w:tcPr>
          <w:p w:rsidR="00262EF8" w:rsidRPr="00E35029" w:rsidRDefault="001A27EE" w:rsidP="001A27EE">
            <w:pPr>
              <w:pStyle w:val="TableText"/>
              <w:spacing w:before="82" w:line="201" w:lineRule="auto"/>
              <w:ind w:firstLineChars="100" w:firstLine="185"/>
              <w:jc w:val="center"/>
              <w:rPr>
                <w:rFonts w:ascii="Times New Roman" w:hAnsi="Times New Roman" w:cs="Times New Roman"/>
                <w:sz w:val="18"/>
              </w:rPr>
            </w:pPr>
            <w:r w:rsidRPr="00E35029">
              <w:rPr>
                <w:rFonts w:ascii="Times New Roman" w:hAnsi="Times New Roman" w:cs="Times New Roman"/>
                <w:spacing w:val="5"/>
                <w:sz w:val="18"/>
                <w:lang w:eastAsia="zh-CN"/>
              </w:rPr>
              <w:t>目的蛋白表达量低</w:t>
            </w:r>
          </w:p>
        </w:tc>
        <w:tc>
          <w:tcPr>
            <w:tcW w:w="5356" w:type="dxa"/>
            <w:vAlign w:val="center"/>
          </w:tcPr>
          <w:p w:rsidR="00262EF8" w:rsidRPr="00E35029" w:rsidRDefault="001A27EE" w:rsidP="001A27EE">
            <w:pPr>
              <w:pStyle w:val="TableText"/>
              <w:spacing w:before="70" w:line="175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优化表达条件，提高蛋白表达水平</w:t>
            </w:r>
          </w:p>
        </w:tc>
      </w:tr>
      <w:tr w:rsidR="00262EF8" w:rsidRPr="00E35029" w:rsidTr="008B77AE">
        <w:trPr>
          <w:trHeight w:val="960"/>
        </w:trPr>
        <w:tc>
          <w:tcPr>
            <w:tcW w:w="1116" w:type="dxa"/>
            <w:vMerge/>
            <w:vAlign w:val="center"/>
          </w:tcPr>
          <w:p w:rsidR="00262EF8" w:rsidRPr="00E35029" w:rsidRDefault="00262EF8" w:rsidP="001A27EE">
            <w:pPr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</w:tc>
        <w:tc>
          <w:tcPr>
            <w:tcW w:w="2222" w:type="dxa"/>
            <w:vAlign w:val="center"/>
          </w:tcPr>
          <w:p w:rsidR="00262EF8" w:rsidRPr="00E35029" w:rsidRDefault="00262EF8" w:rsidP="001A27EE">
            <w:pPr>
              <w:spacing w:line="368" w:lineRule="auto"/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</w:p>
          <w:p w:rsidR="00262EF8" w:rsidRPr="00E35029" w:rsidRDefault="001A27EE" w:rsidP="001A27EE">
            <w:pPr>
              <w:pStyle w:val="TableText"/>
              <w:spacing w:before="82" w:line="201" w:lineRule="auto"/>
              <w:ind w:left="144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目的蛋白不稳定</w:t>
            </w:r>
          </w:p>
        </w:tc>
        <w:tc>
          <w:tcPr>
            <w:tcW w:w="5356" w:type="dxa"/>
            <w:vAlign w:val="center"/>
          </w:tcPr>
          <w:p w:rsidR="00262EF8" w:rsidRPr="00E35029" w:rsidRDefault="001A27EE" w:rsidP="001A27EE">
            <w:pPr>
              <w:pStyle w:val="TableText"/>
              <w:spacing w:before="111" w:line="226" w:lineRule="auto"/>
              <w:ind w:left="127" w:right="125" w:firstLine="9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pacing w:val="7"/>
                <w:sz w:val="18"/>
                <w:lang w:eastAsia="zh-CN"/>
              </w:rPr>
              <w:t>使用新配置的样品，低温操作，在纯化过程中加入蛋白酶抑制剂</w:t>
            </w:r>
          </w:p>
        </w:tc>
      </w:tr>
      <w:tr w:rsidR="00CC04B3" w:rsidRPr="00E35029" w:rsidTr="008B77AE">
        <w:trPr>
          <w:trHeight w:val="634"/>
        </w:trPr>
        <w:tc>
          <w:tcPr>
            <w:tcW w:w="1116" w:type="dxa"/>
            <w:vAlign w:val="center"/>
          </w:tcPr>
          <w:p w:rsidR="00CC04B3" w:rsidRPr="00E35029" w:rsidRDefault="00CC04B3" w:rsidP="001A27EE">
            <w:pPr>
              <w:pStyle w:val="TableText"/>
              <w:spacing w:before="81" w:line="235" w:lineRule="auto"/>
              <w:ind w:left="2" w:right="139" w:firstLine="10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E35029">
              <w:rPr>
                <w:rFonts w:ascii="Times New Roman" w:hAnsi="Times New Roman" w:cs="Times New Roman"/>
                <w:sz w:val="18"/>
                <w:lang w:eastAsia="zh-CN"/>
              </w:rPr>
              <w:t>目的蛋白背景杂</w:t>
            </w:r>
          </w:p>
        </w:tc>
        <w:tc>
          <w:tcPr>
            <w:tcW w:w="2222" w:type="dxa"/>
            <w:vAlign w:val="center"/>
          </w:tcPr>
          <w:p w:rsidR="00CC04B3" w:rsidRPr="00E35029" w:rsidRDefault="00CC04B3" w:rsidP="001A27EE">
            <w:pPr>
              <w:spacing w:line="368" w:lineRule="auto"/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  <w:proofErr w:type="gramStart"/>
            <w:r w:rsidRPr="00E35029">
              <w:rPr>
                <w:rFonts w:ascii="Times New Roman" w:eastAsia="微软雅黑" w:hAnsi="Times New Roman" w:cs="Times New Roman"/>
                <w:sz w:val="18"/>
                <w:szCs w:val="19"/>
                <w:lang w:eastAsia="zh-CN"/>
              </w:rPr>
              <w:t>洗杂不</w:t>
            </w:r>
            <w:proofErr w:type="gramEnd"/>
            <w:r w:rsidRPr="00E35029">
              <w:rPr>
                <w:rFonts w:ascii="Times New Roman" w:eastAsia="微软雅黑" w:hAnsi="Times New Roman" w:cs="Times New Roman"/>
                <w:sz w:val="18"/>
                <w:szCs w:val="19"/>
                <w:lang w:eastAsia="zh-CN"/>
              </w:rPr>
              <w:t>充分</w:t>
            </w:r>
          </w:p>
        </w:tc>
        <w:tc>
          <w:tcPr>
            <w:tcW w:w="5356" w:type="dxa"/>
            <w:vAlign w:val="center"/>
          </w:tcPr>
          <w:p w:rsidR="00CC04B3" w:rsidRPr="00E35029" w:rsidRDefault="00CC04B3" w:rsidP="001A27EE">
            <w:pPr>
              <w:spacing w:line="368" w:lineRule="auto"/>
              <w:ind w:right="154"/>
              <w:jc w:val="center"/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</w:pPr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保证充分悬浮，</w:t>
            </w:r>
            <w:proofErr w:type="gramStart"/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增加洗杂次数</w:t>
            </w:r>
            <w:proofErr w:type="gramEnd"/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，每次清洗孵育</w:t>
            </w:r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5-10 min</w:t>
            </w:r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。</w:t>
            </w:r>
          </w:p>
          <w:p w:rsidR="00CC04B3" w:rsidRPr="00E35029" w:rsidRDefault="00CC04B3" w:rsidP="001A27EE">
            <w:pPr>
              <w:spacing w:line="368" w:lineRule="auto"/>
              <w:jc w:val="center"/>
              <w:rPr>
                <w:rFonts w:ascii="Times New Roman" w:hAnsi="Times New Roman" w:cs="Times New Roman"/>
                <w:sz w:val="18"/>
                <w:szCs w:val="19"/>
                <w:lang w:eastAsia="zh-CN"/>
              </w:rPr>
            </w:pPr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增加</w:t>
            </w:r>
            <w:proofErr w:type="gramStart"/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洗杂液</w:t>
            </w:r>
            <w:proofErr w:type="gramEnd"/>
            <w:r w:rsidRPr="00E35029">
              <w:rPr>
                <w:rFonts w:ascii="Times New Roman" w:eastAsia="微软雅黑" w:hAnsi="Times New Roman" w:cs="Times New Roman"/>
                <w:spacing w:val="9"/>
                <w:sz w:val="18"/>
                <w:szCs w:val="19"/>
                <w:lang w:eastAsia="zh-CN"/>
              </w:rPr>
              <w:t>中盐离子浓度，使用超级核酸酶去除核酸影响。</w:t>
            </w:r>
          </w:p>
        </w:tc>
      </w:tr>
    </w:tbl>
    <w:p w:rsidR="00D57465" w:rsidRPr="001714DE" w:rsidRDefault="00D57465" w:rsidP="00861DB3">
      <w:pPr>
        <w:rPr>
          <w:rFonts w:eastAsiaTheme="minorEastAsia"/>
          <w:lang w:eastAsia="zh-CN"/>
        </w:rPr>
      </w:pPr>
      <w:bookmarkStart w:id="16" w:name="bookmark10"/>
      <w:bookmarkEnd w:id="16"/>
    </w:p>
    <w:sectPr w:rsidR="00D57465" w:rsidRPr="001714DE">
      <w:pgSz w:w="11900" w:h="16841"/>
      <w:pgMar w:top="1334" w:right="1784" w:bottom="1270" w:left="1784" w:header="645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06" w:rsidRDefault="00EA2D06">
      <w:r>
        <w:separator/>
      </w:r>
    </w:p>
  </w:endnote>
  <w:endnote w:type="continuationSeparator" w:id="0">
    <w:p w:rsidR="00EA2D06" w:rsidRDefault="00E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10198"/>
      <w:docPartObj>
        <w:docPartGallery w:val="Page Numbers (Bottom of Page)"/>
        <w:docPartUnique/>
      </w:docPartObj>
    </w:sdtPr>
    <w:sdtEndPr/>
    <w:sdtContent>
      <w:p w:rsidR="00F21365" w:rsidRPr="00BB4FB4" w:rsidRDefault="00F21365" w:rsidP="00BB4F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AE" w:rsidRPr="008B77AE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797925"/>
      <w:docPartObj>
        <w:docPartGallery w:val="Page Numbers (Bottom of Page)"/>
        <w:docPartUnique/>
      </w:docPartObj>
    </w:sdtPr>
    <w:sdtEndPr/>
    <w:sdtContent>
      <w:p w:rsidR="00F21365" w:rsidRPr="00BB4FB4" w:rsidRDefault="00F21365" w:rsidP="00BB4F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AE" w:rsidRPr="008B77AE">
          <w:rPr>
            <w:noProof/>
            <w:lang w:val="zh-CN" w:eastAsia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06" w:rsidRDefault="00EA2D06">
      <w:r>
        <w:separator/>
      </w:r>
    </w:p>
  </w:footnote>
  <w:footnote w:type="continuationSeparator" w:id="0">
    <w:p w:rsidR="00EA2D06" w:rsidRDefault="00E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F6" w:rsidRPr="00BB4FB4" w:rsidRDefault="001B68F6" w:rsidP="001B68F6">
    <w:pPr>
      <w:widowControl w:val="0"/>
      <w:pBdr>
        <w:left w:val="none" w:sz="0" w:space="4" w:color="auto"/>
        <w:bottom w:val="none" w:sz="0" w:space="1" w:color="auto"/>
        <w:right w:val="none" w:sz="0" w:space="4" w:color="auto"/>
      </w:pBdr>
      <w:tabs>
        <w:tab w:val="center" w:pos="4680"/>
        <w:tab w:val="right" w:pos="9360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kern w:val="2"/>
        <w:sz w:val="22"/>
        <w:szCs w:val="22"/>
        <w:lang w:eastAsia="zh-CN"/>
      </w:rPr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jFmN2E2ZWM2YmM3MzlkZmQ1NDkzNzVjZjBmNDgifQ=="/>
  </w:docVars>
  <w:rsids>
    <w:rsidRoot w:val="00262EF8"/>
    <w:rsid w:val="0013616C"/>
    <w:rsid w:val="001714DE"/>
    <w:rsid w:val="00185E9E"/>
    <w:rsid w:val="001A27EE"/>
    <w:rsid w:val="001B68F6"/>
    <w:rsid w:val="001C044A"/>
    <w:rsid w:val="001C6415"/>
    <w:rsid w:val="001C6AA8"/>
    <w:rsid w:val="001D4962"/>
    <w:rsid w:val="001D4EA8"/>
    <w:rsid w:val="001D6913"/>
    <w:rsid w:val="001E3D3C"/>
    <w:rsid w:val="00227202"/>
    <w:rsid w:val="00235461"/>
    <w:rsid w:val="00235BCA"/>
    <w:rsid w:val="002472C9"/>
    <w:rsid w:val="00262480"/>
    <w:rsid w:val="00262EF8"/>
    <w:rsid w:val="0026453E"/>
    <w:rsid w:val="002A4516"/>
    <w:rsid w:val="002C1AA4"/>
    <w:rsid w:val="002C4C5A"/>
    <w:rsid w:val="002C6F82"/>
    <w:rsid w:val="00364D58"/>
    <w:rsid w:val="004001E9"/>
    <w:rsid w:val="004057BD"/>
    <w:rsid w:val="004F6E95"/>
    <w:rsid w:val="00505C20"/>
    <w:rsid w:val="00555030"/>
    <w:rsid w:val="00584DBD"/>
    <w:rsid w:val="00627815"/>
    <w:rsid w:val="006314A9"/>
    <w:rsid w:val="00640D88"/>
    <w:rsid w:val="00661D26"/>
    <w:rsid w:val="00671DF6"/>
    <w:rsid w:val="006D671A"/>
    <w:rsid w:val="00703DA7"/>
    <w:rsid w:val="00742468"/>
    <w:rsid w:val="00745DEC"/>
    <w:rsid w:val="00801B0C"/>
    <w:rsid w:val="00861DB3"/>
    <w:rsid w:val="00866776"/>
    <w:rsid w:val="008A4806"/>
    <w:rsid w:val="008B396F"/>
    <w:rsid w:val="008B77AE"/>
    <w:rsid w:val="0094507E"/>
    <w:rsid w:val="00955D84"/>
    <w:rsid w:val="009A66A4"/>
    <w:rsid w:val="009C616F"/>
    <w:rsid w:val="009D5283"/>
    <w:rsid w:val="009E23AE"/>
    <w:rsid w:val="009E60FC"/>
    <w:rsid w:val="009F7309"/>
    <w:rsid w:val="00A446EA"/>
    <w:rsid w:val="00A673CC"/>
    <w:rsid w:val="00A96B6A"/>
    <w:rsid w:val="00AB2CA1"/>
    <w:rsid w:val="00AB4979"/>
    <w:rsid w:val="00B463CF"/>
    <w:rsid w:val="00B66BE5"/>
    <w:rsid w:val="00B86F30"/>
    <w:rsid w:val="00BB4FB4"/>
    <w:rsid w:val="00BF6BD1"/>
    <w:rsid w:val="00C36A44"/>
    <w:rsid w:val="00C51428"/>
    <w:rsid w:val="00C6293E"/>
    <w:rsid w:val="00CC04B3"/>
    <w:rsid w:val="00CC463E"/>
    <w:rsid w:val="00D07FDF"/>
    <w:rsid w:val="00D57465"/>
    <w:rsid w:val="00D839CD"/>
    <w:rsid w:val="00D96924"/>
    <w:rsid w:val="00D971CD"/>
    <w:rsid w:val="00DB617E"/>
    <w:rsid w:val="00E35029"/>
    <w:rsid w:val="00E67920"/>
    <w:rsid w:val="00EA2D06"/>
    <w:rsid w:val="00F136C8"/>
    <w:rsid w:val="00F21365"/>
    <w:rsid w:val="00F36644"/>
    <w:rsid w:val="00F5001C"/>
    <w:rsid w:val="00F56886"/>
    <w:rsid w:val="00F74CC7"/>
    <w:rsid w:val="00FE69BA"/>
    <w:rsid w:val="39145F7C"/>
    <w:rsid w:val="58B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42461D-6C91-4301-871C-9A0117F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0"/>
    <w:next w:val="a"/>
    <w:link w:val="10"/>
    <w:qFormat/>
    <w:rsid w:val="00C6293E"/>
    <w:pPr>
      <w:spacing w:before="207" w:line="194" w:lineRule="auto"/>
      <w:ind w:left="28"/>
      <w:outlineLvl w:val="0"/>
    </w:pPr>
    <w:rPr>
      <w:b/>
      <w:bCs/>
      <w:spacing w:val="-2"/>
      <w:sz w:val="24"/>
      <w:szCs w:val="24"/>
      <w:lang w:eastAsia="zh-CN"/>
    </w:rPr>
  </w:style>
  <w:style w:type="paragraph" w:styleId="2">
    <w:name w:val="heading 2"/>
    <w:basedOn w:val="a0"/>
    <w:next w:val="a"/>
    <w:link w:val="20"/>
    <w:unhideWhenUsed/>
    <w:qFormat/>
    <w:rsid w:val="00C6293E"/>
    <w:pPr>
      <w:spacing w:before="219" w:line="197" w:lineRule="auto"/>
      <w:ind w:left="25"/>
      <w:outlineLvl w:val="1"/>
    </w:pPr>
    <w:rPr>
      <w:b/>
      <w:bCs/>
      <w:spacing w:val="8"/>
      <w:sz w:val="19"/>
      <w:szCs w:val="19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paragraph" w:styleId="a4">
    <w:name w:val="header"/>
    <w:basedOn w:val="a"/>
    <w:link w:val="a5"/>
    <w:rsid w:val="009C61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9C6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标题 1 字符"/>
    <w:basedOn w:val="a1"/>
    <w:link w:val="1"/>
    <w:rsid w:val="00C6293E"/>
    <w:rPr>
      <w:rFonts w:ascii="微软雅黑" w:eastAsia="微软雅黑" w:hAnsi="微软雅黑" w:cs="微软雅黑"/>
      <w:b/>
      <w:bCs/>
      <w:snapToGrid w:val="0"/>
      <w:color w:val="000000"/>
      <w:spacing w:val="-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001E9"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3">
    <w:name w:val="toc 3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a8">
    <w:name w:val="Title"/>
    <w:basedOn w:val="a0"/>
    <w:next w:val="a"/>
    <w:link w:val="a9"/>
    <w:qFormat/>
    <w:rsid w:val="00C6293E"/>
    <w:pPr>
      <w:spacing w:before="334" w:line="194" w:lineRule="auto"/>
      <w:ind w:left="37"/>
      <w:outlineLvl w:val="0"/>
    </w:pPr>
    <w:rPr>
      <w:b/>
      <w:bCs/>
      <w:spacing w:val="-4"/>
      <w:sz w:val="24"/>
      <w:szCs w:val="24"/>
      <w:lang w:eastAsia="zh-CN"/>
    </w:rPr>
  </w:style>
  <w:style w:type="character" w:customStyle="1" w:styleId="a9">
    <w:name w:val="标题 字符"/>
    <w:basedOn w:val="a1"/>
    <w:link w:val="a8"/>
    <w:rsid w:val="00C6293E"/>
    <w:rPr>
      <w:rFonts w:ascii="微软雅黑" w:eastAsia="微软雅黑" w:hAnsi="微软雅黑" w:cs="微软雅黑"/>
      <w:b/>
      <w:bCs/>
      <w:snapToGrid w:val="0"/>
      <w:color w:val="000000"/>
      <w:spacing w:val="-4"/>
      <w:sz w:val="24"/>
      <w:szCs w:val="24"/>
    </w:rPr>
  </w:style>
  <w:style w:type="character" w:customStyle="1" w:styleId="20">
    <w:name w:val="标题 2 字符"/>
    <w:basedOn w:val="a1"/>
    <w:link w:val="2"/>
    <w:rsid w:val="00C6293E"/>
    <w:rPr>
      <w:rFonts w:ascii="微软雅黑" w:eastAsia="微软雅黑" w:hAnsi="微软雅黑" w:cs="微软雅黑"/>
      <w:b/>
      <w:bCs/>
      <w:snapToGrid w:val="0"/>
      <w:color w:val="000000"/>
      <w:spacing w:val="8"/>
      <w:sz w:val="19"/>
      <w:szCs w:val="19"/>
    </w:rPr>
  </w:style>
  <w:style w:type="character" w:styleId="aa">
    <w:name w:val="Hyperlink"/>
    <w:basedOn w:val="a1"/>
    <w:uiPriority w:val="99"/>
    <w:unhideWhenUsed/>
    <w:rsid w:val="00C6293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AB2CA1"/>
    <w:rPr>
      <w:sz w:val="18"/>
      <w:szCs w:val="18"/>
    </w:rPr>
  </w:style>
  <w:style w:type="character" w:customStyle="1" w:styleId="ac">
    <w:name w:val="批注框文本 字符"/>
    <w:basedOn w:val="a1"/>
    <w:link w:val="ab"/>
    <w:rsid w:val="00AB2CA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B9CD5-8872-434A-9857-0DF54080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328</Words>
  <Characters>1876</Characters>
  <Application>Microsoft Office Word</Application>
  <DocSecurity>0</DocSecurity>
  <Lines>15</Lines>
  <Paragraphs>4</Paragraphs>
  <ScaleCrop>false</ScaleCrop>
  <Company>P R C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Song (GS-CPBU)</dc:creator>
  <cp:lastModifiedBy>Lenovo</cp:lastModifiedBy>
  <cp:revision>23</cp:revision>
  <dcterms:created xsi:type="dcterms:W3CDTF">2023-08-29T07:49:00Z</dcterms:created>
  <dcterms:modified xsi:type="dcterms:W3CDTF">2024-01-09T03:19:00Z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2023-08-16T10:41:23Z</vt:filetime>
  </property>
  <property fmtid="{D5CDD505-2E9C-101B-9397-08002B2CF9AE}" pid="4" name="KSOProductBuildVer">
    <vt:lpwstr>2052-12.1.0.15120</vt:lpwstr>
  </property>
  <property fmtid="{D5CDD505-2E9C-101B-9397-08002B2CF9AE}" pid="5" name="ICV">
    <vt:lpwstr>B2B926B7BBBB4F09B56F603AD2796396_13</vt:lpwstr>
  </property>
</Properties>
</file>